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5" w:lineRule="exact"/>
        <w:ind w:firstLine="13"/>
      </w:pPr>
    </w:p>
    <w:p>
      <w:pPr>
        <w:pStyle w:val="3"/>
        <w:spacing w:line="250" w:lineRule="auto"/>
      </w:pPr>
    </w:p>
    <w:p>
      <w:pPr>
        <w:pStyle w:val="3"/>
        <w:spacing w:line="250" w:lineRule="auto"/>
      </w:pPr>
    </w:p>
    <w:p>
      <w:pPr>
        <w:pStyle w:val="3"/>
        <w:spacing w:line="250" w:lineRule="auto"/>
      </w:pPr>
    </w:p>
    <w:p>
      <w:pPr>
        <w:pStyle w:val="3"/>
        <w:spacing w:line="250" w:lineRule="auto"/>
      </w:pPr>
    </w:p>
    <w:p>
      <w:pPr>
        <w:pStyle w:val="3"/>
        <w:spacing w:line="250" w:lineRule="auto"/>
      </w:pPr>
    </w:p>
    <w:p>
      <w:pPr>
        <w:pStyle w:val="3"/>
        <w:spacing w:line="250" w:lineRule="auto"/>
      </w:pPr>
    </w:p>
    <w:p>
      <w:pPr>
        <w:spacing w:before="231" w:line="353" w:lineRule="auto"/>
        <w:ind w:right="554"/>
        <w:jc w:val="center"/>
        <w:outlineLvl w:val="9"/>
        <w:rPr>
          <w:rFonts w:ascii="黑体" w:hAnsi="黑体" w:eastAsia="黑体" w:cs="黑体"/>
          <w:spacing w:val="9"/>
          <w:sz w:val="52"/>
          <w:szCs w:val="52"/>
          <w14:textOutline w14:w="130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bookmarkStart w:id="0" w:name="_Toc3288"/>
      <w:r>
        <w:rPr>
          <w:rFonts w:ascii="黑体" w:hAnsi="黑体" w:eastAsia="黑体" w:cs="黑体"/>
          <w:spacing w:val="9"/>
          <w:sz w:val="52"/>
          <w:szCs w:val="52"/>
          <w14:textOutline w14:w="13075" w14:cap="flat" w14:cmpd="sng">
            <w14:solidFill>
              <w14:srgbClr w14:val="000000"/>
            </w14:solidFill>
            <w14:prstDash w14:val="solid"/>
            <w14:miter w14:val="0"/>
          </w14:textOutline>
        </w:rPr>
        <w:t>甘肃</w:t>
      </w:r>
      <w:r>
        <w:rPr>
          <w:rFonts w:hint="eastAsia" w:ascii="黑体" w:hAnsi="黑体" w:eastAsia="黑体" w:cs="黑体"/>
          <w:spacing w:val="9"/>
          <w:sz w:val="52"/>
          <w:szCs w:val="52"/>
          <w:lang w:val="en-US" w:eastAsia="zh-CN"/>
          <w14:textOutline w14:w="13075" w14:cap="flat" w14:cmpd="sng">
            <w14:solidFill>
              <w14:srgbClr w14:val="000000"/>
            </w14:solidFill>
            <w14:prstDash w14:val="solid"/>
            <w14:miter w14:val="0"/>
          </w14:textOutline>
        </w:rPr>
        <w:t>盛诺医药科技有限</w:t>
      </w:r>
      <w:r>
        <w:rPr>
          <w:rFonts w:ascii="黑体" w:hAnsi="黑体" w:eastAsia="黑体" w:cs="黑体"/>
          <w:spacing w:val="9"/>
          <w:sz w:val="52"/>
          <w:szCs w:val="52"/>
          <w14:textOutline w14:w="13075" w14:cap="flat" w14:cmpd="sng">
            <w14:solidFill>
              <w14:srgbClr w14:val="000000"/>
            </w14:solidFill>
            <w14:prstDash w14:val="solid"/>
            <w14:miter w14:val="0"/>
          </w14:textOutline>
        </w:rPr>
        <w:t>公司</w:t>
      </w:r>
      <w:bookmarkEnd w:id="0"/>
    </w:p>
    <w:p>
      <w:pPr>
        <w:spacing w:before="231" w:line="353" w:lineRule="auto"/>
        <w:ind w:right="554"/>
        <w:jc w:val="center"/>
        <w:outlineLvl w:val="9"/>
        <w:rPr>
          <w:rFonts w:hint="default" w:ascii="黑体" w:hAnsi="黑体" w:eastAsia="黑体" w:cs="黑体"/>
          <w:spacing w:val="9"/>
          <w:sz w:val="52"/>
          <w:szCs w:val="52"/>
          <w:lang w:val="en-US" w:eastAsia="zh-CN"/>
          <w14:textOutline w14:w="130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bookmarkStart w:id="1" w:name="_Toc7996"/>
      <w:r>
        <w:rPr>
          <w:rFonts w:hint="eastAsia" w:ascii="黑体" w:hAnsi="黑体" w:eastAsia="黑体" w:cs="黑体"/>
          <w:spacing w:val="9"/>
          <w:sz w:val="52"/>
          <w:szCs w:val="52"/>
          <w:lang w:val="en-US" w:eastAsia="zh-CN"/>
          <w14:textOutline w14:w="13075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土壤自行监测报告</w:t>
      </w:r>
      <w:bookmarkEnd w:id="1"/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142240</wp:posOffset>
            </wp:positionV>
            <wp:extent cx="1548130" cy="1619885"/>
            <wp:effectExtent l="0" t="0" r="13970" b="18415"/>
            <wp:wrapNone/>
            <wp:docPr id="3" name="图片 3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/>
                  </pic:nvPicPr>
                  <pic:blipFill>
                    <a:blip r:embed="rId15"/>
                    <a:srcRect l="4064" t="2377" r="4486" b="502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pStyle w:val="3"/>
        <w:spacing w:line="242" w:lineRule="auto"/>
      </w:pPr>
    </w:p>
    <w:p>
      <w:pPr>
        <w:spacing w:before="114" w:line="224" w:lineRule="auto"/>
        <w:ind w:left="1473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10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编制单位：甘肃</w:t>
      </w:r>
      <w:r>
        <w:rPr>
          <w:rFonts w:hint="eastAsia" w:ascii="宋体" w:hAnsi="宋体" w:eastAsia="宋体" w:cs="宋体"/>
          <w:spacing w:val="10"/>
          <w:sz w:val="35"/>
          <w:szCs w:val="35"/>
          <w:lang w:val="en-US" w:eastAsia="zh-CN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盛诺医药科技</w:t>
      </w:r>
      <w:r>
        <w:rPr>
          <w:rFonts w:ascii="宋体" w:hAnsi="宋体" w:eastAsia="宋体" w:cs="宋体"/>
          <w:spacing w:val="10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有限公司</w:t>
      </w:r>
    </w:p>
    <w:p>
      <w:pPr>
        <w:spacing w:before="198" w:line="225" w:lineRule="auto"/>
        <w:ind w:left="147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-2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编制时间：202</w:t>
      </w:r>
      <w:r>
        <w:rPr>
          <w:rFonts w:hint="eastAsia" w:ascii="宋体" w:hAnsi="宋体" w:eastAsia="宋体" w:cs="宋体"/>
          <w:spacing w:val="-2"/>
          <w:sz w:val="35"/>
          <w:szCs w:val="35"/>
          <w:lang w:val="en-US" w:eastAsia="zh-CN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宋体" w:hAnsi="宋体" w:eastAsia="宋体" w:cs="宋体"/>
          <w:spacing w:val="-56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-2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年</w:t>
      </w:r>
      <w:r>
        <w:rPr>
          <w:rFonts w:ascii="宋体" w:hAnsi="宋体" w:eastAsia="宋体" w:cs="宋体"/>
          <w:spacing w:val="-40"/>
          <w:sz w:val="35"/>
          <w:szCs w:val="35"/>
        </w:rPr>
        <w:t xml:space="preserve"> </w:t>
      </w:r>
      <w:r>
        <w:rPr>
          <w:rFonts w:hint="eastAsia" w:ascii="宋体" w:hAnsi="宋体" w:eastAsia="宋体" w:cs="宋体"/>
          <w:spacing w:val="-2"/>
          <w:sz w:val="35"/>
          <w:szCs w:val="35"/>
          <w:lang w:val="en-US" w:eastAsia="zh-CN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9</w:t>
      </w:r>
      <w:r>
        <w:rPr>
          <w:rFonts w:ascii="宋体" w:hAnsi="宋体" w:eastAsia="宋体" w:cs="宋体"/>
          <w:spacing w:val="-64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-2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月</w:t>
      </w:r>
      <w:r>
        <w:rPr>
          <w:rFonts w:ascii="宋体" w:hAnsi="宋体" w:eastAsia="宋体" w:cs="宋体"/>
          <w:spacing w:val="-43"/>
          <w:sz w:val="35"/>
          <w:szCs w:val="35"/>
        </w:rPr>
        <w:t xml:space="preserve"> </w:t>
      </w:r>
      <w:r>
        <w:rPr>
          <w:rFonts w:hint="eastAsia" w:ascii="宋体" w:hAnsi="宋体" w:eastAsia="宋体" w:cs="宋体"/>
          <w:spacing w:val="-2"/>
          <w:sz w:val="35"/>
          <w:szCs w:val="35"/>
          <w:lang w:val="en-US" w:eastAsia="zh-CN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20</w:t>
      </w:r>
      <w:r>
        <w:rPr>
          <w:rFonts w:ascii="宋体" w:hAnsi="宋体" w:eastAsia="宋体" w:cs="宋体"/>
          <w:spacing w:val="-2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-2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val="0"/>
          </w14:textOutline>
        </w:rPr>
        <w:t>日</w:t>
      </w:r>
    </w:p>
    <w:p>
      <w:pPr>
        <w:spacing w:line="225" w:lineRule="auto"/>
        <w:rPr>
          <w:rFonts w:ascii="宋体" w:hAnsi="宋体" w:eastAsia="宋体" w:cs="宋体"/>
          <w:sz w:val="35"/>
          <w:szCs w:val="35"/>
        </w:rPr>
        <w:sectPr>
          <w:pgSz w:w="11907" w:h="16840"/>
          <w:pgMar w:top="720" w:right="1786" w:bottom="0" w:left="1786" w:header="0" w:footer="0" w:gutter="0"/>
          <w:cols w:space="720" w:num="1"/>
        </w:sect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71635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b/>
          <w:snapToGrid w:val="0"/>
          <w:color w:val="000000"/>
          <w:kern w:val="0"/>
          <w:sz w:val="21"/>
          <w:szCs w:val="21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b/>
              <w:bCs/>
              <w:sz w:val="36"/>
              <w:szCs w:val="36"/>
            </w:rPr>
            <w:t>目录</w:t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_Toc20524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</w:t>
          </w:r>
          <w:r>
            <w:rPr>
              <w:rFonts w:ascii="宋体" w:hAnsi="宋体" w:eastAsia="宋体" w:cs="宋体"/>
              <w:spacing w:val="2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工作背景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_Toc20524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_Toc20810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6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1.1</w:t>
          </w:r>
          <w:r>
            <w:rPr>
              <w:rFonts w:ascii="宋体" w:hAnsi="宋体" w:eastAsia="宋体" w:cs="宋体"/>
              <w:spacing w:val="16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6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工作由来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_Toc20810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_Toc25595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6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1.2</w:t>
          </w:r>
          <w:r>
            <w:rPr>
              <w:rFonts w:ascii="宋体" w:hAnsi="宋体" w:eastAsia="宋体" w:cs="宋体"/>
              <w:spacing w:val="16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6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工作依据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_Toc25595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_Toc23290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1.3</w:t>
          </w:r>
          <w:r>
            <w:rPr>
              <w:rFonts w:ascii="宋体" w:hAnsi="宋体" w:eastAsia="宋体" w:cs="宋体"/>
              <w:spacing w:val="-2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工作内容及技术路线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_Toc23290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_Toc21820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</w:t>
          </w:r>
          <w:r>
            <w:rPr>
              <w:rFonts w:ascii="宋体" w:hAnsi="宋体" w:eastAsia="宋体" w:cs="宋体"/>
              <w:spacing w:val="21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企业概况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_Toc21820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_Toc17257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2.1</w:t>
          </w:r>
          <w:r>
            <w:rPr>
              <w:rFonts w:ascii="宋体" w:hAnsi="宋体" w:eastAsia="宋体" w:cs="宋体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企业名称、地址、坐标等基本信息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_Toc17257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_Toc12790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2.2</w:t>
          </w:r>
          <w:r>
            <w:rPr>
              <w:rFonts w:ascii="宋体" w:hAnsi="宋体" w:eastAsia="宋体" w:cs="宋体"/>
              <w:spacing w:val="-2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企业用地历史、行业分类、经营范围等信息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_Toc12790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_Toc2877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2.3</w:t>
          </w:r>
          <w:r>
            <w:rPr>
              <w:rFonts w:ascii="宋体" w:hAnsi="宋体" w:eastAsia="宋体" w:cs="宋体"/>
              <w:spacing w:val="-2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企业用地已有的环境调查与监测情况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_Toc2877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_Toc24593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3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3</w:t>
          </w:r>
          <w:r>
            <w:rPr>
              <w:rFonts w:ascii="宋体" w:hAnsi="宋体" w:eastAsia="宋体" w:cs="宋体"/>
              <w:spacing w:val="20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3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地勘资料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_Toc24593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_Toc4427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3.1</w:t>
          </w:r>
          <w:r>
            <w:rPr>
              <w:rFonts w:ascii="宋体" w:hAnsi="宋体" w:eastAsia="宋体" w:cs="宋体"/>
              <w:spacing w:val="-2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2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地质信息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_Toc4427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_Toc14700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3.2</w:t>
          </w:r>
          <w:r>
            <w:rPr>
              <w:rFonts w:ascii="宋体" w:hAnsi="宋体" w:eastAsia="宋体" w:cs="宋体"/>
              <w:spacing w:val="-1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水文地质信息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_Toc14700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_Toc27854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7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4</w:t>
          </w:r>
          <w:r>
            <w:rPr>
              <w:rFonts w:ascii="宋体" w:hAnsi="宋体" w:eastAsia="宋体" w:cs="宋体"/>
              <w:spacing w:val="7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企业生产及污染防治情况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_Toc27854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_Toc29125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4.1</w:t>
          </w:r>
          <w:r>
            <w:rPr>
              <w:rFonts w:ascii="宋体" w:hAnsi="宋体" w:eastAsia="宋体" w:cs="宋体"/>
              <w:spacing w:val="-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企业生产概况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_Toc29125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_Toc24117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4.2</w:t>
          </w:r>
          <w:r>
            <w:rPr>
              <w:rFonts w:ascii="宋体" w:hAnsi="宋体" w:eastAsia="宋体" w:cs="宋体"/>
              <w:spacing w:val="-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企业总平面布置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_Toc24117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_Toc23767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4.3</w:t>
          </w:r>
          <w:r>
            <w:rPr>
              <w:rFonts w:ascii="宋体" w:hAnsi="宋体" w:eastAsia="宋体" w:cs="宋体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各重点场所、重点设施设备情况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_Toc23767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_Toc13131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0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5</w:t>
          </w:r>
          <w:r>
            <w:rPr>
              <w:rFonts w:ascii="宋体" w:hAnsi="宋体" w:eastAsia="宋体" w:cs="宋体"/>
              <w:spacing w:val="10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0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重点监测单元识别与分类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_Toc13131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_Toc7760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5.1</w:t>
          </w:r>
          <w:r>
            <w:rPr>
              <w:rFonts w:ascii="宋体" w:hAnsi="宋体" w:eastAsia="宋体" w:cs="宋体"/>
              <w:spacing w:val="-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重点单元情况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_Toc7760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_Toc8658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5.2</w:t>
          </w:r>
          <w:r>
            <w:rPr>
              <w:rFonts w:ascii="宋体" w:hAnsi="宋体" w:eastAsia="宋体" w:cs="宋体"/>
              <w:spacing w:val="-1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识别/分类结果及原因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_Toc8658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_Toc23182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5.3</w:t>
          </w:r>
          <w:r>
            <w:rPr>
              <w:rFonts w:ascii="宋体" w:hAnsi="宋体" w:eastAsia="宋体" w:cs="宋体"/>
              <w:spacing w:val="-1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关注污染物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_Toc23182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_Toc29638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8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6</w:t>
          </w:r>
          <w:r>
            <w:rPr>
              <w:rFonts w:ascii="宋体" w:hAnsi="宋体" w:eastAsia="宋体" w:cs="宋体"/>
              <w:spacing w:val="8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8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监测点位布设方案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_Toc29638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_Toc30284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6.1</w:t>
          </w:r>
          <w:r>
            <w:rPr>
              <w:rFonts w:ascii="宋体" w:hAnsi="宋体" w:eastAsia="宋体" w:cs="宋体"/>
              <w:spacing w:val="-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重点单元及相应监测点的布设位置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_Toc30284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_Toc31456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6.2</w:t>
          </w:r>
          <w:r>
            <w:rPr>
              <w:rFonts w:ascii="宋体" w:hAnsi="宋体" w:eastAsia="宋体" w:cs="宋体"/>
              <w:spacing w:val="-4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各点位布设原因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_Toc31456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_Toc9376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6.3</w:t>
          </w:r>
          <w:r>
            <w:rPr>
              <w:rFonts w:ascii="宋体" w:hAnsi="宋体" w:eastAsia="宋体" w:cs="宋体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各点位监测指标及选取原因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_Toc9376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_Toc11543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6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7</w:t>
          </w:r>
          <w:r>
            <w:rPr>
              <w:rFonts w:ascii="宋体" w:hAnsi="宋体" w:eastAsia="宋体" w:cs="宋体"/>
              <w:spacing w:val="16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6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样品采集、保存、流转与制备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_Toc11543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_Toc15867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7.1</w:t>
          </w:r>
          <w:r>
            <w:rPr>
              <w:rFonts w:ascii="宋体" w:hAnsi="宋体" w:eastAsia="宋体" w:cs="宋体"/>
              <w:spacing w:val="-4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现场采样位置、数量和深度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_Toc15867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_Toc6697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7.2</w:t>
          </w:r>
          <w:r>
            <w:rPr>
              <w:rFonts w:ascii="宋体" w:hAnsi="宋体" w:eastAsia="宋体" w:cs="宋体"/>
              <w:spacing w:val="-4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采样方法及程序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_Toc6697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_Toc28675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6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7.3</w:t>
          </w:r>
          <w:r>
            <w:rPr>
              <w:rFonts w:ascii="宋体" w:hAnsi="宋体" w:eastAsia="宋体" w:cs="宋体"/>
              <w:spacing w:val="6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6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样品保存、流转与制备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_Toc28675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_Toc10870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9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8</w:t>
          </w:r>
          <w:r>
            <w:rPr>
              <w:rFonts w:ascii="宋体" w:hAnsi="宋体" w:eastAsia="宋体" w:cs="宋体"/>
              <w:spacing w:val="9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9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监测结果及分析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_Toc10870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_Toc5514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8.1</w:t>
          </w:r>
          <w:r>
            <w:rPr>
              <w:rFonts w:ascii="宋体" w:hAnsi="宋体" w:eastAsia="宋体" w:cs="宋体"/>
              <w:spacing w:val="4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4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土壤监测结果分析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_Toc5514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_Toc22965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4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9</w:t>
          </w:r>
          <w:r>
            <w:rPr>
              <w:rFonts w:ascii="宋体" w:hAnsi="宋体" w:eastAsia="宋体" w:cs="宋体"/>
              <w:spacing w:val="14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4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质量保证与质量控制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_Toc22965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_Toc16110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9.1</w:t>
          </w:r>
          <w:r>
            <w:rPr>
              <w:rFonts w:ascii="宋体" w:hAnsi="宋体" w:eastAsia="宋体" w:cs="宋体"/>
              <w:spacing w:val="66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自行监测质量体系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_Toc16110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_Toc29769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0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9.2</w:t>
          </w:r>
          <w:r>
            <w:rPr>
              <w:rFonts w:ascii="宋体" w:hAnsi="宋体" w:eastAsia="宋体" w:cs="宋体"/>
              <w:spacing w:val="10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0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监测方案制定的质量保证与控制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_Toc29769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_Toc30359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9.3</w:t>
          </w:r>
          <w:r>
            <w:rPr>
              <w:rFonts w:ascii="宋体" w:hAnsi="宋体" w:eastAsia="宋体" w:cs="宋体"/>
              <w:spacing w:val="11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样品采集、保存、流转、制备与分析的质量保证与控制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_Toc30359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_Toc21566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8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10</w:t>
          </w:r>
          <w:r>
            <w:rPr>
              <w:rFonts w:ascii="宋体" w:hAnsi="宋体" w:eastAsia="宋体" w:cs="宋体"/>
              <w:spacing w:val="51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8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结论与措施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_Toc21566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_Toc27267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10.1</w:t>
          </w:r>
          <w:r>
            <w:rPr>
              <w:rFonts w:ascii="宋体" w:hAnsi="宋体" w:eastAsia="宋体" w:cs="宋体"/>
              <w:spacing w:val="40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监测结论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_Toc27267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_Toc17210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10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10.2</w:t>
          </w:r>
          <w:r>
            <w:rPr>
              <w:rFonts w:ascii="宋体" w:hAnsi="宋体" w:eastAsia="宋体" w:cs="宋体"/>
              <w:spacing w:val="10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10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企业针对监测结果拟采取的主要措施及原因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_Toc17210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_Toc10994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5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11</w:t>
          </w:r>
          <w:r>
            <w:rPr>
              <w:rFonts w:ascii="宋体" w:hAnsi="宋体" w:eastAsia="宋体" w:cs="宋体"/>
              <w:spacing w:val="15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5"/>
              <w:sz w:val="24"/>
              <w:szCs w:val="36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附件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_Toc10994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_Toc4324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1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附件</w:t>
          </w:r>
          <w:r>
            <w:rPr>
              <w:rFonts w:ascii="宋体" w:hAnsi="宋体" w:eastAsia="宋体" w:cs="宋体"/>
              <w:spacing w:val="-5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</w:t>
          </w:r>
          <w:r>
            <w:rPr>
              <w:rFonts w:ascii="宋体" w:hAnsi="宋体" w:eastAsia="宋体" w:cs="宋体"/>
              <w:spacing w:val="-13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13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重点监测单元清单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_Toc4324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36"/>
            </w:rPr>
            <w:instrText xml:space="preserve"> HYPERLINK \l _Toc28593 </w:instrText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separate"/>
          </w:r>
          <w:r>
            <w:rPr>
              <w:rFonts w:ascii="宋体" w:hAnsi="宋体" w:eastAsia="宋体" w:cs="宋体"/>
              <w:spacing w:val="-9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附件</w:t>
          </w:r>
          <w:r>
            <w:rPr>
              <w:rFonts w:ascii="宋体" w:hAnsi="宋体" w:eastAsia="宋体" w:cs="宋体"/>
              <w:spacing w:val="-60"/>
              <w:sz w:val="24"/>
              <w:szCs w:val="36"/>
            </w:rPr>
            <w:t xml:space="preserve"> </w:t>
          </w:r>
          <w:r>
            <w:rPr>
              <w:rFonts w:hint="eastAsia" w:ascii="宋体" w:hAnsi="宋体" w:eastAsia="宋体" w:cs="宋体"/>
              <w:spacing w:val="-9"/>
              <w:sz w:val="24"/>
              <w:szCs w:val="36"/>
              <w:lang w:val="en-US" w:eastAsia="zh-CN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</w:t>
          </w:r>
          <w:r>
            <w:rPr>
              <w:rFonts w:ascii="宋体" w:hAnsi="宋体" w:eastAsia="宋体" w:cs="宋体"/>
              <w:spacing w:val="-9"/>
              <w:sz w:val="24"/>
              <w:szCs w:val="36"/>
            </w:rPr>
            <w:t xml:space="preserve"> </w:t>
          </w:r>
          <w:r>
            <w:rPr>
              <w:rFonts w:ascii="宋体" w:hAnsi="宋体" w:eastAsia="宋体" w:cs="宋体"/>
              <w:spacing w:val="-9"/>
              <w:sz w:val="24"/>
              <w:szCs w:val="36"/>
              <w14:textOutline w14:w="51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实验室样品检测报告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_Toc28593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</w:p>
        <w:p>
          <w:pPr>
            <w:spacing w:line="525" w:lineRule="exact"/>
            <w:rPr>
              <w:rFonts w:ascii="宋体" w:hAnsi="宋体" w:eastAsia="宋体" w:cs="宋体"/>
              <w:spacing w:val="-1"/>
              <w:sz w:val="31"/>
              <w:szCs w:val="31"/>
              <w14:textOutline w14:w="579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</w:pPr>
          <w:r>
            <w:rPr>
              <w:rFonts w:hint="eastAsia" w:ascii="宋体" w:hAnsi="宋体" w:eastAsia="宋体" w:cs="宋体"/>
              <w:sz w:val="24"/>
              <w:szCs w:val="36"/>
            </w:rPr>
            <w:fldChar w:fldCharType="end"/>
          </w:r>
          <w:bookmarkStart w:id="2" w:name="_Toc19948"/>
        </w:p>
      </w:sdtContent>
    </w:sdt>
    <w:p>
      <w:pPr>
        <w:spacing w:before="168" w:line="225" w:lineRule="auto"/>
        <w:ind w:left="36"/>
        <w:outlineLvl w:val="0"/>
        <w:rPr>
          <w:rFonts w:ascii="宋体" w:hAnsi="宋体" w:eastAsia="宋体" w:cs="宋体"/>
          <w:spacing w:val="-1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68" w:line="225" w:lineRule="auto"/>
        <w:ind w:left="36"/>
        <w:outlineLvl w:val="0"/>
        <w:rPr>
          <w:rFonts w:ascii="宋体" w:hAnsi="宋体" w:eastAsia="宋体" w:cs="宋体"/>
          <w:spacing w:val="-1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68" w:line="225" w:lineRule="auto"/>
        <w:ind w:left="36"/>
        <w:outlineLvl w:val="0"/>
        <w:rPr>
          <w:rFonts w:ascii="宋体" w:hAnsi="宋体" w:eastAsia="宋体" w:cs="宋体"/>
          <w:spacing w:val="-1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68" w:line="225" w:lineRule="auto"/>
        <w:outlineLvl w:val="0"/>
        <w:rPr>
          <w:rFonts w:ascii="宋体" w:hAnsi="宋体" w:eastAsia="宋体" w:cs="宋体"/>
          <w:spacing w:val="-1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sectPr>
          <w:footerReference r:id="rId5" w:type="default"/>
          <w:pgSz w:w="11906" w:h="16839"/>
          <w:pgMar w:top="1118" w:right="867" w:bottom="803" w:left="1303" w:header="0" w:footer="589" w:gutter="0"/>
          <w:pgNumType w:fmt="decimal" w:start="1"/>
          <w:cols w:space="720" w:num="1"/>
        </w:sectPr>
      </w:pPr>
      <w:bookmarkStart w:id="63" w:name="_GoBack"/>
      <w:bookmarkEnd w:id="63"/>
    </w:p>
    <w:p>
      <w:pPr>
        <w:spacing w:before="168" w:line="225" w:lineRule="auto"/>
        <w:ind w:left="36"/>
        <w:outlineLvl w:val="0"/>
        <w:rPr>
          <w:rFonts w:ascii="宋体" w:hAnsi="宋体" w:eastAsia="宋体" w:cs="宋体"/>
          <w:sz w:val="31"/>
          <w:szCs w:val="31"/>
        </w:rPr>
      </w:pPr>
      <w:bookmarkStart w:id="3" w:name="_Toc20524"/>
      <w:r>
        <w:rPr>
          <w:rFonts w:ascii="宋体" w:hAnsi="宋体" w:eastAsia="宋体" w:cs="宋体"/>
          <w:spacing w:val="-1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宋体" w:hAnsi="宋体" w:eastAsia="宋体" w:cs="宋体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工作背景</w:t>
      </w:r>
      <w:bookmarkEnd w:id="2"/>
      <w:bookmarkEnd w:id="3"/>
    </w:p>
    <w:p>
      <w:pPr>
        <w:spacing w:before="264" w:line="220" w:lineRule="auto"/>
        <w:ind w:left="31"/>
        <w:outlineLvl w:val="1"/>
        <w:rPr>
          <w:rFonts w:ascii="宋体" w:hAnsi="宋体" w:eastAsia="宋体" w:cs="宋体"/>
          <w:sz w:val="28"/>
          <w:szCs w:val="28"/>
        </w:rPr>
      </w:pPr>
      <w:bookmarkStart w:id="4" w:name="_Toc756"/>
      <w:bookmarkStart w:id="5" w:name="_Toc20810"/>
      <w:r>
        <w:rPr>
          <w:rFonts w:ascii="宋体" w:hAnsi="宋体" w:eastAsia="宋体" w:cs="宋体"/>
          <w:spacing w:val="-6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1.1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工作由来</w:t>
      </w:r>
      <w:bookmarkEnd w:id="4"/>
      <w:bookmarkEnd w:id="5"/>
    </w:p>
    <w:p>
      <w:pPr>
        <w:spacing w:before="292" w:line="411" w:lineRule="auto"/>
        <w:ind w:left="10" w:right="72" w:firstLine="56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根据《酒泉市生态环境局玉门分局关于做好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202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年度土壤污</w:t>
      </w:r>
      <w:r>
        <w:rPr>
          <w:rFonts w:ascii="宋体" w:hAnsi="宋体" w:eastAsia="宋体" w:cs="宋体"/>
          <w:spacing w:val="-2"/>
          <w:sz w:val="28"/>
          <w:szCs w:val="28"/>
        </w:rPr>
        <w:t>染重点监管单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位环境管理工作的通知》（玉环发【202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pacing w:val="1"/>
          <w:sz w:val="28"/>
          <w:szCs w:val="28"/>
        </w:rPr>
        <w:t>】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16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号）要求，以及《甘肃省土壤污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染防治行动计划》、《甘肃省土壤污染防治工作方案》等</w:t>
      </w:r>
      <w:r>
        <w:rPr>
          <w:rFonts w:ascii="宋体" w:hAnsi="宋体" w:eastAsia="宋体" w:cs="宋体"/>
          <w:spacing w:val="-5"/>
          <w:sz w:val="28"/>
          <w:szCs w:val="28"/>
        </w:rPr>
        <w:t>政策要求，特制定本方</w:t>
      </w:r>
    </w:p>
    <w:p>
      <w:pPr>
        <w:spacing w:before="1" w:line="220" w:lineRule="auto"/>
        <w:ind w:lef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案。</w:t>
      </w:r>
    </w:p>
    <w:p>
      <w:pPr>
        <w:spacing w:before="289" w:line="219" w:lineRule="auto"/>
        <w:ind w:left="31"/>
        <w:outlineLvl w:val="1"/>
        <w:rPr>
          <w:rFonts w:ascii="宋体" w:hAnsi="宋体" w:eastAsia="宋体" w:cs="宋体"/>
          <w:sz w:val="28"/>
          <w:szCs w:val="28"/>
        </w:rPr>
      </w:pPr>
      <w:bookmarkStart w:id="6" w:name="_Toc2178"/>
      <w:bookmarkStart w:id="7" w:name="_Toc25595"/>
      <w:r>
        <w:rPr>
          <w:rFonts w:ascii="宋体" w:hAnsi="宋体" w:eastAsia="宋体" w:cs="宋体"/>
          <w:spacing w:val="-6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1.2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工作依据</w:t>
      </w:r>
      <w:bookmarkEnd w:id="6"/>
      <w:bookmarkEnd w:id="7"/>
    </w:p>
    <w:p>
      <w:pPr>
        <w:spacing w:before="292" w:line="624" w:lineRule="exact"/>
        <w:ind w:right="62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（</w:t>
      </w:r>
      <w:r>
        <w:rPr>
          <w:rFonts w:ascii="Calibri" w:hAnsi="Calibri" w:eastAsia="Calibri" w:cs="Calibri"/>
          <w:spacing w:val="-4"/>
          <w:position w:val="26"/>
          <w:sz w:val="28"/>
          <w:szCs w:val="28"/>
        </w:rPr>
        <w:t>1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）《工业企业土壤和地下水自行监测技术指南（试行）》</w:t>
      </w:r>
      <w:r>
        <w:rPr>
          <w:rFonts w:ascii="Calibri" w:hAnsi="Calibri" w:eastAsia="Calibri" w:cs="Calibri"/>
          <w:spacing w:val="-4"/>
          <w:position w:val="26"/>
          <w:sz w:val="28"/>
          <w:szCs w:val="28"/>
        </w:rPr>
        <w:t xml:space="preserve">HJ1209-2021 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进</w:t>
      </w:r>
    </w:p>
    <w:p>
      <w:pPr>
        <w:spacing w:before="1" w:line="219" w:lineRule="auto"/>
        <w:ind w:left="1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行编制；</w:t>
      </w:r>
    </w:p>
    <w:p>
      <w:pPr>
        <w:spacing w:before="290" w:line="624" w:lineRule="exact"/>
        <w:ind w:right="75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（2）《重点行业企业用地调查样品采集保存和流转技术规定(试行)》（环</w:t>
      </w:r>
    </w:p>
    <w:p>
      <w:pPr>
        <w:spacing w:before="2" w:line="219" w:lineRule="auto"/>
        <w:ind w:left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办土壤[2017]67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号</w:t>
      </w:r>
      <w:r>
        <w:rPr>
          <w:rFonts w:ascii="宋体" w:hAnsi="宋体" w:eastAsia="宋体" w:cs="宋体"/>
          <w:spacing w:val="1"/>
          <w:sz w:val="28"/>
          <w:szCs w:val="28"/>
        </w:rPr>
        <w:t>）；</w:t>
      </w:r>
    </w:p>
    <w:p>
      <w:pPr>
        <w:pStyle w:val="3"/>
        <w:spacing w:line="417" w:lineRule="auto"/>
      </w:pPr>
    </w:p>
    <w:p>
      <w:pPr>
        <w:spacing w:before="92" w:line="796" w:lineRule="exact"/>
        <w:ind w:left="580"/>
        <w:outlineLvl w:val="2"/>
        <w:rPr>
          <w:rFonts w:ascii="宋体" w:hAnsi="宋体" w:eastAsia="宋体" w:cs="宋体"/>
          <w:sz w:val="28"/>
          <w:szCs w:val="28"/>
        </w:rPr>
      </w:pPr>
      <w:bookmarkStart w:id="8" w:name="_Toc4635"/>
      <w:r>
        <w:rPr>
          <w:rFonts w:ascii="宋体" w:hAnsi="宋体" w:eastAsia="宋体" w:cs="宋体"/>
          <w:spacing w:val="-1"/>
          <w:position w:val="40"/>
          <w:sz w:val="28"/>
          <w:szCs w:val="28"/>
        </w:rPr>
        <w:t>（3）《重点监管单位土壤污染隐患排查指南(试行)》；</w:t>
      </w:r>
      <w:bookmarkEnd w:id="8"/>
    </w:p>
    <w:p>
      <w:pPr>
        <w:spacing w:before="1" w:line="218" w:lineRule="auto"/>
        <w:ind w:left="58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（4）《土壤环境监测技术规范》</w:t>
      </w:r>
      <w:r>
        <w:rPr>
          <w:rFonts w:ascii="宋体" w:hAnsi="宋体" w:eastAsia="宋体" w:cs="宋体"/>
          <w:spacing w:val="-6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(HJ/T 166-2004)；</w:t>
      </w:r>
    </w:p>
    <w:p>
      <w:pPr>
        <w:pStyle w:val="3"/>
        <w:spacing w:line="426" w:lineRule="auto"/>
      </w:pPr>
    </w:p>
    <w:p>
      <w:pPr>
        <w:spacing w:before="91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（5）《地块土壤和地下水中挥发性有机物采样技术导则》</w:t>
      </w:r>
      <w:r>
        <w:rPr>
          <w:rFonts w:ascii="宋体" w:hAnsi="宋体" w:eastAsia="宋体" w:cs="宋体"/>
          <w:spacing w:val="-6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(HJ1019-2019)；</w:t>
      </w:r>
    </w:p>
    <w:p>
      <w:pPr>
        <w:pStyle w:val="3"/>
        <w:spacing w:line="372" w:lineRule="auto"/>
      </w:pPr>
    </w:p>
    <w:p>
      <w:pPr>
        <w:spacing w:before="91" w:line="220" w:lineRule="auto"/>
        <w:ind w:left="58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（6）《土壤质量土壤样品长期和短期保存指南》</w:t>
      </w:r>
      <w:r>
        <w:rPr>
          <w:rFonts w:ascii="宋体" w:hAnsi="宋体" w:eastAsia="宋体" w:cs="宋体"/>
          <w:spacing w:val="-7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(GB/T 32722-2016)；</w:t>
      </w:r>
    </w:p>
    <w:p>
      <w:pPr>
        <w:spacing w:before="291" w:line="624" w:lineRule="exact"/>
        <w:ind w:right="7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6"/>
          <w:position w:val="26"/>
          <w:sz w:val="28"/>
          <w:szCs w:val="28"/>
        </w:rPr>
        <w:t>（7</w:t>
      </w:r>
      <w:r>
        <w:rPr>
          <w:rFonts w:ascii="宋体" w:hAnsi="宋体" w:eastAsia="宋体" w:cs="宋体"/>
          <w:spacing w:val="-65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position w:val="26"/>
          <w:sz w:val="28"/>
          <w:szCs w:val="28"/>
        </w:rPr>
        <w:t>）</w:t>
      </w:r>
      <w:r>
        <w:rPr>
          <w:rFonts w:ascii="宋体" w:hAnsi="宋体" w:eastAsia="宋体" w:cs="宋体"/>
          <w:spacing w:val="-105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position w:val="26"/>
          <w:sz w:val="28"/>
          <w:szCs w:val="28"/>
        </w:rPr>
        <w:t>《</w:t>
      </w:r>
      <w:r>
        <w:rPr>
          <w:rFonts w:ascii="宋体" w:hAnsi="宋体" w:eastAsia="宋体" w:cs="宋体"/>
          <w:spacing w:val="-67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position w:val="26"/>
          <w:sz w:val="28"/>
          <w:szCs w:val="28"/>
        </w:rPr>
        <w:t>土壤环境质量建设用地土壤污染风</w:t>
      </w:r>
      <w:r>
        <w:rPr>
          <w:rFonts w:ascii="宋体" w:hAnsi="宋体" w:eastAsia="宋体" w:cs="宋体"/>
          <w:spacing w:val="-81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position w:val="26"/>
          <w:sz w:val="28"/>
          <w:szCs w:val="28"/>
        </w:rPr>
        <w:t>险管控标</w:t>
      </w:r>
      <w:r>
        <w:rPr>
          <w:rFonts w:ascii="宋体" w:hAnsi="宋体" w:eastAsia="宋体" w:cs="宋体"/>
          <w:spacing w:val="15"/>
          <w:position w:val="26"/>
          <w:sz w:val="28"/>
          <w:szCs w:val="28"/>
        </w:rPr>
        <w:t>准</w:t>
      </w:r>
      <w:r>
        <w:rPr>
          <w:rFonts w:ascii="宋体" w:hAnsi="宋体" w:eastAsia="宋体" w:cs="宋体"/>
          <w:spacing w:val="-4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position w:val="26"/>
          <w:sz w:val="28"/>
          <w:szCs w:val="28"/>
        </w:rPr>
        <w:t>(试行)</w:t>
      </w:r>
      <w:r>
        <w:rPr>
          <w:rFonts w:ascii="宋体" w:hAnsi="宋体" w:eastAsia="宋体" w:cs="宋体"/>
          <w:spacing w:val="-79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position w:val="26"/>
          <w:sz w:val="28"/>
          <w:szCs w:val="28"/>
        </w:rPr>
        <w:t>》</w:t>
      </w:r>
      <w:r>
        <w:rPr>
          <w:rFonts w:ascii="宋体" w:hAnsi="宋体" w:eastAsia="宋体" w:cs="宋体"/>
          <w:spacing w:val="-4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5"/>
          <w:position w:val="26"/>
          <w:sz w:val="28"/>
          <w:szCs w:val="28"/>
        </w:rPr>
        <w:t>(</w:t>
      </w:r>
      <w:r>
        <w:rPr>
          <w:rFonts w:ascii="宋体" w:hAnsi="宋体" w:eastAsia="宋体" w:cs="宋体"/>
          <w:position w:val="26"/>
          <w:sz w:val="28"/>
          <w:szCs w:val="28"/>
        </w:rPr>
        <w:t>GB</w:t>
      </w:r>
    </w:p>
    <w:p>
      <w:pPr>
        <w:spacing w:before="1" w:line="222" w:lineRule="auto"/>
        <w:ind w:left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36600-2018)。</w:t>
      </w:r>
    </w:p>
    <w:p>
      <w:pPr>
        <w:spacing w:before="286" w:line="220" w:lineRule="auto"/>
        <w:ind w:left="31"/>
        <w:outlineLvl w:val="1"/>
        <w:rPr>
          <w:rFonts w:ascii="宋体" w:hAnsi="宋体" w:eastAsia="宋体" w:cs="宋体"/>
          <w:sz w:val="28"/>
          <w:szCs w:val="28"/>
        </w:rPr>
      </w:pPr>
      <w:bookmarkStart w:id="9" w:name="_Toc19959"/>
      <w:bookmarkStart w:id="10" w:name="_Toc23290"/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1.3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工作内容及技术路线</w:t>
      </w:r>
      <w:bookmarkEnd w:id="9"/>
      <w:bookmarkEnd w:id="10"/>
    </w:p>
    <w:p>
      <w:pPr>
        <w:spacing w:before="292" w:line="411" w:lineRule="auto"/>
        <w:ind w:left="17" w:right="72" w:firstLine="55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严格按照《酒泉市生态环境局玉门分局关于做好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202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年度土壤</w:t>
      </w:r>
      <w:r>
        <w:rPr>
          <w:rFonts w:ascii="宋体" w:hAnsi="宋体" w:eastAsia="宋体" w:cs="宋体"/>
          <w:spacing w:val="-2"/>
          <w:sz w:val="28"/>
          <w:szCs w:val="28"/>
        </w:rPr>
        <w:t>污染重点监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管单位环境管理工作的通知》（玉环发【202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pacing w:val="1"/>
          <w:sz w:val="28"/>
          <w:szCs w:val="28"/>
        </w:rPr>
        <w:t>】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16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号）、《甘肃省土壤污</w:t>
      </w:r>
      <w:r>
        <w:rPr>
          <w:rFonts w:ascii="宋体" w:hAnsi="宋体" w:eastAsia="宋体" w:cs="宋体"/>
          <w:sz w:val="28"/>
          <w:szCs w:val="28"/>
        </w:rPr>
        <w:t>染防</w:t>
      </w:r>
    </w:p>
    <w:p>
      <w:pPr>
        <w:spacing w:line="219" w:lineRule="auto"/>
        <w:ind w:left="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治行动计划》、《甘肃省土壤污染防治工作方案》等文件，以及《工业企</w:t>
      </w:r>
      <w:r>
        <w:rPr>
          <w:rFonts w:ascii="宋体" w:hAnsi="宋体" w:eastAsia="宋体" w:cs="宋体"/>
          <w:spacing w:val="-5"/>
          <w:sz w:val="28"/>
          <w:szCs w:val="28"/>
        </w:rPr>
        <w:t>业土壤</w:t>
      </w:r>
    </w:p>
    <w:p>
      <w:pPr>
        <w:spacing w:line="525" w:lineRule="exact"/>
      </w:pPr>
    </w:p>
    <w:p>
      <w:pPr>
        <w:spacing w:before="186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和地下水自行监测技术指南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>(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试行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>)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》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>HJ1209-2021</w:t>
      </w:r>
      <w:r>
        <w:rPr>
          <w:rFonts w:ascii="Calibri" w:hAnsi="Calibri" w:eastAsia="Calibri" w:cs="Calibri"/>
          <w:spacing w:val="35"/>
          <w:w w:val="101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position w:val="26"/>
          <w:sz w:val="28"/>
          <w:szCs w:val="28"/>
        </w:rPr>
        <w:t>的要求，规范编制企业土壤和地</w:t>
      </w:r>
    </w:p>
    <w:p>
      <w:pPr>
        <w:spacing w:before="1" w:line="219" w:lineRule="auto"/>
        <w:ind w:left="1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下水监测方案，并委托第三方进行监测。</w:t>
      </w:r>
    </w:p>
    <w:p>
      <w:pPr>
        <w:spacing w:before="271" w:line="225" w:lineRule="auto"/>
        <w:ind w:left="16"/>
        <w:outlineLvl w:val="0"/>
        <w:rPr>
          <w:rFonts w:ascii="宋体" w:hAnsi="宋体" w:eastAsia="宋体" w:cs="宋体"/>
          <w:sz w:val="31"/>
          <w:szCs w:val="31"/>
        </w:rPr>
      </w:pPr>
      <w:bookmarkStart w:id="11" w:name="_Toc21820"/>
      <w:r>
        <w:rPr>
          <w:rFonts w:ascii="宋体" w:hAnsi="宋体" w:eastAsia="宋体" w:cs="宋体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宋体" w:hAnsi="宋体" w:eastAsia="宋体" w:cs="宋体"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企业概况</w:t>
      </w:r>
      <w:bookmarkEnd w:id="11"/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footerReference r:id="rId6" w:type="default"/>
          <w:pgSz w:w="11906" w:h="16839"/>
          <w:pgMar w:top="1118" w:right="867" w:bottom="803" w:left="1303" w:header="0" w:footer="589" w:gutter="0"/>
          <w:pgNumType w:fmt="decimal" w:start="1"/>
          <w:cols w:space="720" w:num="1"/>
        </w:sectPr>
      </w:pPr>
    </w:p>
    <w:p>
      <w:pPr>
        <w:spacing w:before="106" w:line="525" w:lineRule="exact"/>
        <w:ind w:firstLine="28"/>
      </w:pPr>
    </w:p>
    <w:p>
      <w:pPr>
        <w:spacing w:before="144" w:line="219" w:lineRule="auto"/>
        <w:ind w:left="42"/>
        <w:outlineLvl w:val="1"/>
        <w:rPr>
          <w:rFonts w:ascii="宋体" w:hAnsi="宋体" w:eastAsia="宋体" w:cs="宋体"/>
          <w:sz w:val="28"/>
          <w:szCs w:val="28"/>
        </w:rPr>
      </w:pPr>
      <w:bookmarkStart w:id="12" w:name="_Toc22885"/>
      <w:bookmarkStart w:id="13" w:name="_Toc17257"/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2.1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企业名称、地址、坐标等基本信息</w:t>
      </w:r>
      <w:bookmarkEnd w:id="12"/>
      <w:bookmarkEnd w:id="13"/>
    </w:p>
    <w:p>
      <w:pPr>
        <w:spacing w:before="217"/>
      </w:pPr>
    </w:p>
    <w:tbl>
      <w:tblPr>
        <w:tblStyle w:val="11"/>
        <w:tblW w:w="15054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0"/>
        <w:gridCol w:w="1410"/>
        <w:gridCol w:w="1369"/>
        <w:gridCol w:w="20"/>
        <w:gridCol w:w="1507"/>
        <w:gridCol w:w="1487"/>
        <w:gridCol w:w="184"/>
        <w:gridCol w:w="1042"/>
        <w:gridCol w:w="532"/>
        <w:gridCol w:w="667"/>
        <w:gridCol w:w="1470"/>
        <w:gridCol w:w="384"/>
        <w:gridCol w:w="1668"/>
        <w:gridCol w:w="13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2010" w:type="dxa"/>
            <w:tcBorders>
              <w:left w:val="single" w:color="000000" w:sz="10" w:space="0"/>
            </w:tcBorders>
            <w:vAlign w:val="top"/>
          </w:tcPr>
          <w:p>
            <w:pPr>
              <w:pStyle w:val="12"/>
              <w:spacing w:before="206" w:line="228" w:lineRule="auto"/>
              <w:ind w:left="522"/>
            </w:pPr>
            <w:r>
              <w:rPr>
                <w:spacing w:val="18"/>
              </w:rPr>
              <w:t>单位名称</w:t>
            </w:r>
          </w:p>
        </w:tc>
        <w:tc>
          <w:tcPr>
            <w:tcW w:w="4306" w:type="dxa"/>
            <w:gridSpan w:val="4"/>
            <w:vAlign w:val="top"/>
          </w:tcPr>
          <w:p>
            <w:pPr>
              <w:pStyle w:val="12"/>
              <w:spacing w:before="206" w:line="227" w:lineRule="auto"/>
              <w:ind w:left="1001"/>
            </w:pPr>
            <w:r>
              <w:rPr>
                <w:spacing w:val="23"/>
              </w:rPr>
              <w:t>甘肃</w:t>
            </w:r>
            <w:r>
              <w:rPr>
                <w:rFonts w:hint="eastAsia"/>
                <w:spacing w:val="23"/>
                <w:lang w:val="en-US" w:eastAsia="zh-CN"/>
              </w:rPr>
              <w:t>盛诺医药科技</w:t>
            </w:r>
            <w:r>
              <w:rPr>
                <w:spacing w:val="23"/>
              </w:rPr>
              <w:t>有限公司</w:t>
            </w:r>
          </w:p>
        </w:tc>
        <w:tc>
          <w:tcPr>
            <w:tcW w:w="1671" w:type="dxa"/>
            <w:gridSpan w:val="2"/>
            <w:vAlign w:val="top"/>
          </w:tcPr>
          <w:p>
            <w:pPr>
              <w:pStyle w:val="12"/>
              <w:spacing w:before="206" w:line="229" w:lineRule="auto"/>
              <w:ind w:left="375"/>
            </w:pPr>
            <w:r>
              <w:rPr>
                <w:spacing w:val="19"/>
              </w:rPr>
              <w:t>注册地址</w:t>
            </w:r>
          </w:p>
        </w:tc>
        <w:tc>
          <w:tcPr>
            <w:tcW w:w="7067" w:type="dxa"/>
            <w:gridSpan w:val="7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06" w:line="227" w:lineRule="auto"/>
              <w:ind w:left="743"/>
            </w:pPr>
            <w:r>
              <w:rPr>
                <w:spacing w:val="20"/>
              </w:rPr>
              <w:t xml:space="preserve">甘肃省酒泉市玉门市玉门东建材化工工业园酒泉路 </w:t>
            </w:r>
            <w:r>
              <w:rPr>
                <w:rFonts w:hint="eastAsia"/>
                <w:spacing w:val="20"/>
                <w:lang w:val="en-US" w:eastAsia="zh-CN"/>
              </w:rPr>
              <w:t>21</w:t>
            </w:r>
            <w:r>
              <w:rPr>
                <w:spacing w:val="-4"/>
              </w:rPr>
              <w:t xml:space="preserve"> </w:t>
            </w:r>
            <w:r>
              <w:rPr>
                <w:spacing w:val="20"/>
              </w:rPr>
              <w:t>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2010" w:type="dxa"/>
            <w:tcBorders>
              <w:left w:val="single" w:color="000000" w:sz="10" w:space="0"/>
            </w:tcBorders>
            <w:vAlign w:val="top"/>
          </w:tcPr>
          <w:p>
            <w:pPr>
              <w:pStyle w:val="12"/>
              <w:spacing w:before="287" w:line="228" w:lineRule="auto"/>
              <w:ind w:left="71"/>
            </w:pPr>
            <w:r>
              <w:rPr>
                <w:spacing w:val="22"/>
              </w:rPr>
              <w:t>生产经营场所地址</w:t>
            </w:r>
          </w:p>
        </w:tc>
        <w:tc>
          <w:tcPr>
            <w:tcW w:w="4306" w:type="dxa"/>
            <w:gridSpan w:val="4"/>
            <w:vAlign w:val="top"/>
          </w:tcPr>
          <w:p>
            <w:pPr>
              <w:pStyle w:val="12"/>
              <w:spacing w:before="112" w:line="227" w:lineRule="auto"/>
              <w:ind w:left="1114"/>
            </w:pPr>
            <w:r>
              <w:rPr>
                <w:spacing w:val="23"/>
              </w:rPr>
              <w:t>甘肃省酒泉市玉门市</w:t>
            </w:r>
          </w:p>
          <w:p>
            <w:pPr>
              <w:pStyle w:val="12"/>
              <w:spacing w:before="104" w:line="209" w:lineRule="auto"/>
              <w:ind w:left="381"/>
            </w:pPr>
            <w:r>
              <w:rPr>
                <w:spacing w:val="17"/>
              </w:rPr>
              <w:t>玉门东建材化工工业园酒泉路</w:t>
            </w:r>
            <w:r>
              <w:rPr>
                <w:rFonts w:hint="eastAsia"/>
                <w:spacing w:val="17"/>
                <w:lang w:val="en-US" w:eastAsia="zh-CN"/>
              </w:rPr>
              <w:t>21</w:t>
            </w:r>
            <w:r>
              <w:rPr>
                <w:spacing w:val="-10"/>
              </w:rPr>
              <w:t xml:space="preserve"> </w:t>
            </w:r>
            <w:r>
              <w:rPr>
                <w:spacing w:val="17"/>
              </w:rPr>
              <w:t>号</w:t>
            </w:r>
          </w:p>
        </w:tc>
        <w:tc>
          <w:tcPr>
            <w:tcW w:w="1671" w:type="dxa"/>
            <w:gridSpan w:val="2"/>
            <w:vAlign w:val="top"/>
          </w:tcPr>
          <w:p>
            <w:pPr>
              <w:pStyle w:val="12"/>
              <w:spacing w:before="287" w:line="228" w:lineRule="auto"/>
              <w:ind w:left="390"/>
            </w:pPr>
            <w:r>
              <w:rPr>
                <w:spacing w:val="15"/>
              </w:rPr>
              <w:t>邮政编码</w:t>
            </w:r>
          </w:p>
        </w:tc>
        <w:tc>
          <w:tcPr>
            <w:tcW w:w="1574" w:type="dxa"/>
            <w:gridSpan w:val="2"/>
            <w:tcBorders>
              <w:right w:val="single" w:color="000000" w:sz="10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65" w:line="190" w:lineRule="auto"/>
              <w:ind w:left="444"/>
            </w:pPr>
            <w:r>
              <w:rPr>
                <w:spacing w:val="8"/>
              </w:rPr>
              <w:t>735201</w:t>
            </w:r>
          </w:p>
        </w:tc>
        <w:tc>
          <w:tcPr>
            <w:tcW w:w="2137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87" w:line="228" w:lineRule="auto"/>
              <w:ind w:left="608"/>
            </w:pPr>
            <w:r>
              <w:rPr>
                <w:spacing w:val="18"/>
              </w:rPr>
              <w:t>行业类别</w:t>
            </w:r>
          </w:p>
        </w:tc>
        <w:tc>
          <w:tcPr>
            <w:tcW w:w="3356" w:type="dxa"/>
            <w:gridSpan w:val="3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88" w:line="228" w:lineRule="auto"/>
              <w:ind w:left="979"/>
            </w:pPr>
            <w:r>
              <w:rPr>
                <w:spacing w:val="21"/>
              </w:rPr>
              <w:t>化学</w:t>
            </w:r>
            <w:r>
              <w:rPr>
                <w:rFonts w:hint="eastAsia"/>
                <w:spacing w:val="21"/>
                <w:lang w:val="en-US" w:eastAsia="zh-CN"/>
              </w:rPr>
              <w:t>原料</w:t>
            </w:r>
            <w:r>
              <w:rPr>
                <w:spacing w:val="21"/>
              </w:rPr>
              <w:t>药制造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010" w:type="dxa"/>
            <w:tcBorders>
              <w:left w:val="single" w:color="000000" w:sz="10" w:space="0"/>
            </w:tcBorders>
            <w:vAlign w:val="top"/>
          </w:tcPr>
          <w:p>
            <w:pPr>
              <w:pStyle w:val="12"/>
              <w:spacing w:before="253" w:line="228" w:lineRule="auto"/>
              <w:ind w:left="523"/>
            </w:pPr>
            <w:r>
              <w:rPr>
                <w:spacing w:val="18"/>
              </w:rPr>
              <w:t>是否投产</w:t>
            </w:r>
          </w:p>
        </w:tc>
        <w:tc>
          <w:tcPr>
            <w:tcW w:w="1410" w:type="dxa"/>
            <w:vAlign w:val="top"/>
          </w:tcPr>
          <w:p>
            <w:pPr>
              <w:pStyle w:val="12"/>
              <w:spacing w:before="253" w:line="231" w:lineRule="auto"/>
              <w:ind w:left="563"/>
            </w:pPr>
            <w:r>
              <w:t>是</w:t>
            </w:r>
          </w:p>
        </w:tc>
        <w:tc>
          <w:tcPr>
            <w:tcW w:w="1389" w:type="dxa"/>
            <w:gridSpan w:val="2"/>
            <w:vAlign w:val="top"/>
          </w:tcPr>
          <w:p>
            <w:pPr>
              <w:pStyle w:val="12"/>
              <w:spacing w:before="253" w:line="228" w:lineRule="auto"/>
              <w:ind w:left="216"/>
            </w:pPr>
            <w:r>
              <w:rPr>
                <w:spacing w:val="18"/>
              </w:rPr>
              <w:t>投产日期</w:t>
            </w:r>
          </w:p>
        </w:tc>
        <w:tc>
          <w:tcPr>
            <w:tcW w:w="1507" w:type="dxa"/>
            <w:vAlign w:val="top"/>
          </w:tcPr>
          <w:p>
            <w:pPr>
              <w:pStyle w:val="12"/>
              <w:spacing w:before="285" w:line="190" w:lineRule="auto"/>
              <w:ind w:left="171"/>
              <w:rPr>
                <w:rFonts w:hint="default" w:eastAsia="宋体"/>
                <w:lang w:val="en-US" w:eastAsia="zh-CN"/>
              </w:rPr>
            </w:pPr>
            <w:r>
              <w:rPr>
                <w:spacing w:val="10"/>
              </w:rPr>
              <w:t>2021-0</w:t>
            </w:r>
            <w:r>
              <w:rPr>
                <w:rFonts w:hint="eastAsia"/>
                <w:spacing w:val="10"/>
                <w:lang w:val="en-US" w:eastAsia="zh-CN"/>
              </w:rPr>
              <w:t>7</w:t>
            </w:r>
            <w:r>
              <w:rPr>
                <w:spacing w:val="10"/>
              </w:rPr>
              <w:t>-</w:t>
            </w:r>
            <w:r>
              <w:rPr>
                <w:rFonts w:hint="eastAsia"/>
                <w:spacing w:val="10"/>
                <w:lang w:val="en-US" w:eastAsia="zh-CN"/>
              </w:rPr>
              <w:t>23</w:t>
            </w:r>
          </w:p>
        </w:tc>
        <w:tc>
          <w:tcPr>
            <w:tcW w:w="1671" w:type="dxa"/>
            <w:gridSpan w:val="2"/>
            <w:vAlign w:val="top"/>
          </w:tcPr>
          <w:p>
            <w:pPr>
              <w:pStyle w:val="12"/>
              <w:spacing w:before="114" w:line="233" w:lineRule="auto"/>
              <w:ind w:left="506" w:right="72" w:hanging="468"/>
            </w:pPr>
            <w:r>
              <w:rPr>
                <w:spacing w:val="22"/>
              </w:rPr>
              <w:t>生产经营场所中</w:t>
            </w:r>
            <w:r>
              <w:t xml:space="preserve"> </w:t>
            </w:r>
            <w:r>
              <w:rPr>
                <w:spacing w:val="14"/>
              </w:rPr>
              <w:t>心坐标</w:t>
            </w:r>
          </w:p>
        </w:tc>
        <w:tc>
          <w:tcPr>
            <w:tcW w:w="7067" w:type="dxa"/>
            <w:gridSpan w:val="7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66" w:line="207" w:lineRule="auto"/>
              <w:ind w:left="1429"/>
              <w:rPr>
                <w:rFonts w:hint="default" w:eastAsia="宋体"/>
                <w:lang w:val="en-US" w:eastAsia="zh-CN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东经 97.873094</w:t>
            </w:r>
            <w:r>
              <w:rPr>
                <w:rFonts w:hint="eastAsia"/>
                <w:spacing w:val="25"/>
                <w:highlight w:val="non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  <w:highlight w:val="none"/>
              </w:rPr>
              <w:t>北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纬</w:t>
            </w:r>
            <w:r>
              <w:rPr>
                <w:rFonts w:hint="eastAsia" w:ascii="仿宋" w:hAnsi="仿宋" w:eastAsia="仿宋" w:cs="仿宋"/>
                <w:spacing w:val="-1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39.794089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010" w:type="dxa"/>
            <w:tcBorders>
              <w:left w:val="single" w:color="000000" w:sz="10" w:space="0"/>
            </w:tcBorders>
            <w:vAlign w:val="top"/>
          </w:tcPr>
          <w:p>
            <w:pPr>
              <w:pStyle w:val="12"/>
              <w:spacing w:before="255" w:line="227" w:lineRule="auto"/>
              <w:ind w:left="297"/>
            </w:pPr>
            <w:r>
              <w:rPr>
                <w:spacing w:val="21"/>
              </w:rPr>
              <w:t>组织机构代码</w:t>
            </w:r>
          </w:p>
        </w:tc>
        <w:tc>
          <w:tcPr>
            <w:tcW w:w="4306" w:type="dxa"/>
            <w:gridSpan w:val="4"/>
            <w:vAlign w:val="top"/>
          </w:tcPr>
          <w:p>
            <w:pPr>
              <w:pStyle w:val="12"/>
              <w:spacing w:before="287" w:line="190" w:lineRule="auto"/>
              <w:ind w:left="156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671" w:type="dxa"/>
            <w:gridSpan w:val="2"/>
            <w:vAlign w:val="top"/>
          </w:tcPr>
          <w:p>
            <w:pPr>
              <w:pStyle w:val="12"/>
              <w:spacing w:before="114" w:line="233" w:lineRule="auto"/>
              <w:ind w:left="723" w:right="72" w:hanging="682"/>
            </w:pPr>
            <w:r>
              <w:rPr>
                <w:spacing w:val="21"/>
              </w:rPr>
              <w:t>统一社会信用代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码</w:t>
            </w:r>
          </w:p>
        </w:tc>
        <w:tc>
          <w:tcPr>
            <w:tcW w:w="7067" w:type="dxa"/>
            <w:gridSpan w:val="7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87" w:line="190" w:lineRule="auto"/>
              <w:ind w:left="2497"/>
            </w:pPr>
            <w:r>
              <w:rPr>
                <w:rFonts w:hint="eastAsia"/>
              </w:rPr>
              <w:t>91620981MA73CJJ270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2010" w:type="dxa"/>
            <w:tcBorders>
              <w:left w:val="single" w:color="000000" w:sz="10" w:space="0"/>
            </w:tcBorders>
            <w:vAlign w:val="top"/>
          </w:tcPr>
          <w:p>
            <w:pPr>
              <w:pStyle w:val="12"/>
              <w:spacing w:before="206" w:line="228" w:lineRule="auto"/>
              <w:ind w:left="408"/>
            </w:pPr>
            <w:r>
              <w:rPr>
                <w:spacing w:val="20"/>
              </w:rPr>
              <w:t>技术负责人</w:t>
            </w:r>
          </w:p>
        </w:tc>
        <w:tc>
          <w:tcPr>
            <w:tcW w:w="1410" w:type="dxa"/>
            <w:vAlign w:val="top"/>
          </w:tcPr>
          <w:p>
            <w:pPr>
              <w:pStyle w:val="12"/>
              <w:spacing w:before="206" w:line="228" w:lineRule="auto"/>
              <w:ind w:left="336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pacing w:val="16"/>
                <w:lang w:val="en-US" w:eastAsia="zh-CN"/>
              </w:rPr>
              <w:t>杜庆华</w:t>
            </w:r>
          </w:p>
        </w:tc>
        <w:tc>
          <w:tcPr>
            <w:tcW w:w="1389" w:type="dxa"/>
            <w:gridSpan w:val="2"/>
            <w:vAlign w:val="top"/>
          </w:tcPr>
          <w:p>
            <w:pPr>
              <w:pStyle w:val="12"/>
              <w:spacing w:before="206" w:line="230" w:lineRule="auto"/>
              <w:ind w:left="214"/>
            </w:pPr>
            <w:r>
              <w:rPr>
                <w:spacing w:val="19"/>
              </w:rPr>
              <w:t>联系电话</w:t>
            </w:r>
          </w:p>
        </w:tc>
        <w:tc>
          <w:tcPr>
            <w:tcW w:w="1507" w:type="dxa"/>
            <w:vAlign w:val="top"/>
          </w:tcPr>
          <w:p>
            <w:pPr>
              <w:pStyle w:val="12"/>
              <w:spacing w:before="238" w:line="190" w:lineRule="auto"/>
              <w:ind w:left="129"/>
            </w:pPr>
            <w:r>
              <w:rPr>
                <w:rFonts w:hint="eastAsia"/>
              </w:rPr>
              <w:t>13705297672</w:t>
            </w:r>
          </w:p>
        </w:tc>
        <w:tc>
          <w:tcPr>
            <w:tcW w:w="1671" w:type="dxa"/>
            <w:gridSpan w:val="2"/>
            <w:vAlign w:val="top"/>
          </w:tcPr>
          <w:p>
            <w:pPr>
              <w:pStyle w:val="12"/>
              <w:spacing w:before="207" w:line="228" w:lineRule="auto"/>
              <w:ind w:left="92"/>
            </w:pPr>
            <w:r>
              <w:rPr>
                <w:spacing w:val="2"/>
              </w:rPr>
              <w:t>占地面积（</w:t>
            </w:r>
            <w:r>
              <w:rPr>
                <w:rFonts w:ascii="Calibri" w:hAnsi="Calibri" w:eastAsia="Calibri" w:cs="Calibri"/>
                <w:spacing w:val="2"/>
              </w:rPr>
              <w:t>m2</w:t>
            </w:r>
            <w:r>
              <w:rPr>
                <w:spacing w:val="2"/>
              </w:rPr>
              <w:t>）</w:t>
            </w:r>
          </w:p>
        </w:tc>
        <w:tc>
          <w:tcPr>
            <w:tcW w:w="1574" w:type="dxa"/>
            <w:gridSpan w:val="2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38" w:line="190" w:lineRule="auto"/>
              <w:ind w:left="329"/>
            </w:pPr>
            <w:r>
              <w:rPr>
                <w:spacing w:val="2"/>
              </w:rPr>
              <w:t>67548</w:t>
            </w:r>
          </w:p>
        </w:tc>
        <w:tc>
          <w:tcPr>
            <w:tcW w:w="2137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06" w:line="228" w:lineRule="auto"/>
              <w:ind w:left="605"/>
            </w:pPr>
            <w:r>
              <w:rPr>
                <w:spacing w:val="19"/>
              </w:rPr>
              <w:t>职工总数</w:t>
            </w:r>
          </w:p>
        </w:tc>
        <w:tc>
          <w:tcPr>
            <w:tcW w:w="3356" w:type="dxa"/>
            <w:gridSpan w:val="3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06" w:line="231" w:lineRule="auto"/>
              <w:ind w:left="1358"/>
            </w:pPr>
            <w:r>
              <w:rPr>
                <w:rFonts w:hint="eastAsia"/>
                <w:spacing w:val="1"/>
                <w:lang w:val="en-US" w:eastAsia="zh-CN"/>
              </w:rPr>
              <w:t>55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2010" w:type="dxa"/>
            <w:tcBorders>
              <w:left w:val="single" w:color="000000" w:sz="10" w:space="0"/>
            </w:tcBorders>
            <w:vAlign w:val="top"/>
          </w:tcPr>
          <w:p>
            <w:pPr>
              <w:pStyle w:val="12"/>
              <w:spacing w:before="206" w:line="228" w:lineRule="auto"/>
              <w:ind w:left="296"/>
            </w:pPr>
            <w:r>
              <w:rPr>
                <w:spacing w:val="21"/>
              </w:rPr>
              <w:t>主要产品名称</w:t>
            </w:r>
          </w:p>
        </w:tc>
        <w:tc>
          <w:tcPr>
            <w:tcW w:w="13044" w:type="dxa"/>
            <w:gridSpan w:val="13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06" w:line="227" w:lineRule="auto"/>
              <w:ind w:firstLine="1428" w:firstLineChars="700"/>
            </w:pPr>
            <w:r>
              <w:rPr>
                <w:spacing w:val="2"/>
              </w:rPr>
              <w:t>3-硝基邻苯二甲酸；5-硝基间苯二甲酸；N-甲基-4-硝基邻苯二甲酰亚胺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010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65" w:line="228" w:lineRule="auto"/>
              <w:ind w:left="297"/>
            </w:pPr>
            <w:r>
              <w:rPr>
                <w:spacing w:val="21"/>
              </w:rPr>
              <w:t>各生产线情况</w:t>
            </w:r>
          </w:p>
        </w:tc>
        <w:tc>
          <w:tcPr>
            <w:tcW w:w="2779" w:type="dxa"/>
            <w:gridSpan w:val="2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53" w:line="228" w:lineRule="auto"/>
              <w:ind w:left="802"/>
            </w:pPr>
            <w:r>
              <w:rPr>
                <w:spacing w:val="20"/>
              </w:rPr>
              <w:t>生产线名称</w:t>
            </w:r>
          </w:p>
        </w:tc>
        <w:tc>
          <w:tcPr>
            <w:tcW w:w="1527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53" w:line="228" w:lineRule="auto"/>
              <w:ind w:left="163"/>
            </w:pPr>
            <w:r>
              <w:rPr>
                <w:spacing w:val="17"/>
              </w:rPr>
              <w:t>数量（条）</w:t>
            </w:r>
          </w:p>
        </w:tc>
        <w:tc>
          <w:tcPr>
            <w:tcW w:w="1487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53" w:line="228" w:lineRule="auto"/>
              <w:ind w:left="463"/>
            </w:pPr>
            <w:r>
              <w:rPr>
                <w:spacing w:val="13"/>
              </w:rPr>
              <w:t>产品</w:t>
            </w:r>
          </w:p>
        </w:tc>
        <w:tc>
          <w:tcPr>
            <w:tcW w:w="1226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54" w:line="228" w:lineRule="auto"/>
              <w:ind w:left="109"/>
            </w:pPr>
            <w:r>
              <w:rPr>
                <w:spacing w:val="19"/>
              </w:rPr>
              <w:t>环评审批</w:t>
            </w:r>
          </w:p>
        </w:tc>
        <w:tc>
          <w:tcPr>
            <w:tcW w:w="1199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53" w:line="228" w:lineRule="auto"/>
              <w:ind w:left="98"/>
            </w:pPr>
            <w:r>
              <w:rPr>
                <w:spacing w:val="19"/>
              </w:rPr>
              <w:t>竣工验收</w:t>
            </w:r>
          </w:p>
        </w:tc>
        <w:tc>
          <w:tcPr>
            <w:tcW w:w="1854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14" w:line="228" w:lineRule="auto"/>
              <w:ind w:left="205"/>
            </w:pPr>
            <w:r>
              <w:rPr>
                <w:spacing w:val="21"/>
              </w:rPr>
              <w:t>设计生产能力</w:t>
            </w:r>
          </w:p>
          <w:p>
            <w:pPr>
              <w:pStyle w:val="12"/>
              <w:spacing w:before="34" w:line="206" w:lineRule="auto"/>
              <w:ind w:left="507"/>
            </w:pPr>
            <w:r>
              <w:rPr>
                <w:spacing w:val="7"/>
              </w:rPr>
              <w:t>（t/h）</w:t>
            </w:r>
          </w:p>
        </w:tc>
        <w:tc>
          <w:tcPr>
            <w:tcW w:w="1668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14" w:line="228" w:lineRule="auto"/>
              <w:ind w:left="117"/>
            </w:pPr>
            <w:r>
              <w:rPr>
                <w:spacing w:val="21"/>
              </w:rPr>
              <w:t>实际生产能力</w:t>
            </w:r>
          </w:p>
          <w:p>
            <w:pPr>
              <w:pStyle w:val="12"/>
              <w:spacing w:before="34" w:line="206" w:lineRule="auto"/>
              <w:ind w:left="417"/>
            </w:pPr>
            <w:r>
              <w:rPr>
                <w:spacing w:val="7"/>
              </w:rPr>
              <w:t>（t/a）</w:t>
            </w:r>
          </w:p>
        </w:tc>
        <w:tc>
          <w:tcPr>
            <w:tcW w:w="1304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54" w:line="229" w:lineRule="auto"/>
              <w:ind w:left="390"/>
            </w:pPr>
            <w:r>
              <w:rPr>
                <w:spacing w:val="11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2010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9" w:type="dxa"/>
            <w:gridSpan w:val="2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03" w:line="228" w:lineRule="auto"/>
            </w:pPr>
            <w:r>
              <w:rPr>
                <w:spacing w:val="2"/>
              </w:rPr>
              <w:t>3-硝基邻苯二甲酸</w:t>
            </w:r>
            <w:r>
              <w:rPr>
                <w:spacing w:val="5"/>
              </w:rPr>
              <w:t>生产线</w:t>
            </w:r>
          </w:p>
        </w:tc>
        <w:tc>
          <w:tcPr>
            <w:tcW w:w="1527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36" w:line="189" w:lineRule="auto"/>
              <w:ind w:left="672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87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03" w:line="229" w:lineRule="auto"/>
            </w:pPr>
            <w:r>
              <w:rPr>
                <w:spacing w:val="2"/>
              </w:rPr>
              <w:t>3-硝基邻苯二甲酸</w:t>
            </w:r>
          </w:p>
        </w:tc>
        <w:tc>
          <w:tcPr>
            <w:tcW w:w="1226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03" w:line="228" w:lineRule="auto"/>
              <w:ind w:left="245"/>
            </w:pPr>
            <w:r>
              <w:rPr>
                <w:spacing w:val="9"/>
              </w:rPr>
              <w:t>已审批</w:t>
            </w:r>
          </w:p>
        </w:tc>
        <w:tc>
          <w:tcPr>
            <w:tcW w:w="1199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03" w:line="228" w:lineRule="auto"/>
              <w:ind w:left="233"/>
            </w:pPr>
            <w:r>
              <w:rPr>
                <w:spacing w:val="9"/>
              </w:rPr>
              <w:t>已验收</w:t>
            </w:r>
          </w:p>
        </w:tc>
        <w:tc>
          <w:tcPr>
            <w:tcW w:w="1854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36" w:line="189" w:lineRule="auto"/>
              <w:ind w:left="655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7"/>
                <w:lang w:val="en-US" w:eastAsia="zh-CN"/>
              </w:rPr>
              <w:t>600</w:t>
            </w:r>
          </w:p>
        </w:tc>
        <w:tc>
          <w:tcPr>
            <w:tcW w:w="1668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36" w:line="189" w:lineRule="auto"/>
              <w:ind w:left="565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7"/>
                <w:lang w:val="en-US" w:eastAsia="zh-CN"/>
              </w:rPr>
              <w:t>600</w:t>
            </w:r>
          </w:p>
        </w:tc>
        <w:tc>
          <w:tcPr>
            <w:tcW w:w="1304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2010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9" w:type="dxa"/>
            <w:gridSpan w:val="2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213" w:line="227" w:lineRule="auto"/>
            </w:pPr>
            <w:r>
              <w:rPr>
                <w:spacing w:val="2"/>
              </w:rPr>
              <w:t>5-硝基间苯二甲酸生产线</w:t>
            </w:r>
          </w:p>
        </w:tc>
        <w:tc>
          <w:tcPr>
            <w:tcW w:w="1527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46" w:line="189" w:lineRule="auto"/>
              <w:ind w:left="673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87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13" w:line="227" w:lineRule="auto"/>
            </w:pPr>
            <w:r>
              <w:rPr>
                <w:spacing w:val="2"/>
              </w:rPr>
              <w:t>5-硝基间苯二甲酸</w:t>
            </w:r>
          </w:p>
        </w:tc>
        <w:tc>
          <w:tcPr>
            <w:tcW w:w="1226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14" w:line="228" w:lineRule="auto"/>
              <w:ind w:left="245"/>
            </w:pPr>
            <w:r>
              <w:rPr>
                <w:spacing w:val="9"/>
              </w:rPr>
              <w:t>已审批</w:t>
            </w:r>
          </w:p>
        </w:tc>
        <w:tc>
          <w:tcPr>
            <w:tcW w:w="1199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13" w:line="228" w:lineRule="auto"/>
              <w:ind w:left="233"/>
            </w:pPr>
            <w:r>
              <w:rPr>
                <w:spacing w:val="9"/>
              </w:rPr>
              <w:t>已验收</w:t>
            </w:r>
          </w:p>
        </w:tc>
        <w:tc>
          <w:tcPr>
            <w:tcW w:w="1854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45" w:line="190" w:lineRule="auto"/>
              <w:ind w:left="668"/>
            </w:pPr>
            <w:r>
              <w:rPr>
                <w:spacing w:val="4"/>
              </w:rPr>
              <w:t>1000</w:t>
            </w:r>
          </w:p>
        </w:tc>
        <w:tc>
          <w:tcPr>
            <w:tcW w:w="1668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45" w:line="190" w:lineRule="auto"/>
              <w:ind w:left="578"/>
            </w:pPr>
            <w:r>
              <w:rPr>
                <w:spacing w:val="4"/>
              </w:rPr>
              <w:t>1000</w:t>
            </w:r>
          </w:p>
        </w:tc>
        <w:tc>
          <w:tcPr>
            <w:tcW w:w="1304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010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79" w:type="dxa"/>
            <w:gridSpan w:val="2"/>
            <w:tcBorders>
              <w:right w:val="single" w:color="000000" w:sz="10" w:space="0"/>
            </w:tcBorders>
            <w:vAlign w:val="top"/>
          </w:tcPr>
          <w:p>
            <w:pPr>
              <w:pStyle w:val="12"/>
              <w:spacing w:before="184" w:line="228" w:lineRule="auto"/>
            </w:pPr>
            <w:r>
              <w:rPr>
                <w:spacing w:val="2"/>
              </w:rPr>
              <w:t>N-甲基-4-硝基邻苯二甲酰亚胺</w:t>
            </w:r>
            <w:r>
              <w:rPr>
                <w:spacing w:val="4"/>
              </w:rPr>
              <w:t>生产线</w:t>
            </w:r>
          </w:p>
        </w:tc>
        <w:tc>
          <w:tcPr>
            <w:tcW w:w="1527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17" w:line="189" w:lineRule="auto"/>
              <w:ind w:left="686"/>
            </w:pPr>
            <w:r>
              <w:t>1</w:t>
            </w:r>
          </w:p>
        </w:tc>
        <w:tc>
          <w:tcPr>
            <w:tcW w:w="1487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84" w:line="230" w:lineRule="auto"/>
            </w:pPr>
            <w:r>
              <w:rPr>
                <w:spacing w:val="2"/>
              </w:rPr>
              <w:t>N-甲基-4-硝基邻苯二甲酰亚胺</w:t>
            </w:r>
          </w:p>
        </w:tc>
        <w:tc>
          <w:tcPr>
            <w:tcW w:w="1226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85" w:line="228" w:lineRule="auto"/>
              <w:ind w:left="245"/>
            </w:pPr>
            <w:r>
              <w:rPr>
                <w:spacing w:val="9"/>
              </w:rPr>
              <w:t>已审批</w:t>
            </w:r>
          </w:p>
        </w:tc>
        <w:tc>
          <w:tcPr>
            <w:tcW w:w="1199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84" w:line="228" w:lineRule="auto"/>
              <w:ind w:left="233"/>
            </w:pPr>
            <w:r>
              <w:rPr>
                <w:spacing w:val="9"/>
              </w:rPr>
              <w:t>已验收</w:t>
            </w:r>
          </w:p>
        </w:tc>
        <w:tc>
          <w:tcPr>
            <w:tcW w:w="1854" w:type="dxa"/>
            <w:gridSpan w:val="2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84" w:line="233" w:lineRule="auto"/>
              <w:ind w:left="429" w:firstLine="208" w:firstLineChars="100"/>
            </w:pPr>
            <w:r>
              <w:rPr>
                <w:spacing w:val="4"/>
              </w:rPr>
              <w:t>1000</w:t>
            </w:r>
          </w:p>
        </w:tc>
        <w:tc>
          <w:tcPr>
            <w:tcW w:w="1668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217" w:line="189" w:lineRule="auto"/>
              <w:ind w:left="507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pacing w:val="9"/>
                <w:lang w:val="en-US" w:eastAsia="zh-CN"/>
              </w:rPr>
              <w:t>1000</w:t>
            </w:r>
          </w:p>
        </w:tc>
        <w:tc>
          <w:tcPr>
            <w:tcW w:w="1304" w:type="dxa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84" w:line="229" w:lineRule="auto"/>
              <w:ind w:left="390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</w:trPr>
        <w:tc>
          <w:tcPr>
            <w:tcW w:w="15054" w:type="dxa"/>
            <w:gridSpan w:val="1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12"/>
              <w:spacing w:before="103" w:line="207" w:lineRule="auto"/>
              <w:ind w:left="817"/>
            </w:pPr>
          </w:p>
        </w:tc>
      </w:tr>
    </w:tbl>
    <w:p>
      <w:pPr>
        <w:pStyle w:val="3"/>
      </w:pPr>
    </w:p>
    <w:p>
      <w:pPr>
        <w:sectPr>
          <w:headerReference r:id="rId7" w:type="default"/>
          <w:footerReference r:id="rId8" w:type="default"/>
          <w:pgSz w:w="16839" w:h="11906"/>
          <w:pgMar w:top="1012" w:right="879" w:bottom="803" w:left="878" w:header="0" w:footer="589" w:gutter="0"/>
          <w:pgNumType w:fmt="decimal"/>
          <w:cols w:space="720" w:num="1"/>
        </w:sectPr>
      </w:pPr>
    </w:p>
    <w:p>
      <w:pPr>
        <w:spacing w:line="525" w:lineRule="exact"/>
      </w:pPr>
    </w:p>
    <w:p>
      <w:pPr>
        <w:pStyle w:val="3"/>
        <w:spacing w:line="264" w:lineRule="auto"/>
      </w:pPr>
    </w:p>
    <w:p>
      <w:pPr>
        <w:spacing w:before="91" w:line="220" w:lineRule="auto"/>
        <w:ind w:left="14"/>
        <w:outlineLvl w:val="1"/>
        <w:rPr>
          <w:rFonts w:ascii="宋体" w:hAnsi="宋体" w:eastAsia="宋体" w:cs="宋体"/>
          <w:sz w:val="28"/>
          <w:szCs w:val="28"/>
        </w:rPr>
      </w:pPr>
      <w:bookmarkStart w:id="14" w:name="_Toc1930"/>
      <w:bookmarkStart w:id="15" w:name="_Toc12790"/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2.2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企业用地历史、行业分类、经营范围等信息</w:t>
      </w:r>
      <w:bookmarkEnd w:id="14"/>
      <w:bookmarkEnd w:id="15"/>
    </w:p>
    <w:p>
      <w:pPr>
        <w:spacing w:before="1" w:line="219" w:lineRule="auto"/>
        <w:ind w:left="12" w:firstLine="568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甘肃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盛诺医药科技</w:t>
      </w:r>
      <w:r>
        <w:rPr>
          <w:rFonts w:ascii="宋体" w:hAnsi="宋体" w:eastAsia="宋体" w:cs="宋体"/>
          <w:spacing w:val="2"/>
          <w:sz w:val="28"/>
          <w:szCs w:val="28"/>
        </w:rPr>
        <w:t>有限公司位于酒泉市玉门市玉门东建材</w:t>
      </w:r>
      <w:r>
        <w:rPr>
          <w:rFonts w:ascii="宋体" w:hAnsi="宋体" w:eastAsia="宋体" w:cs="宋体"/>
          <w:spacing w:val="1"/>
          <w:sz w:val="28"/>
          <w:szCs w:val="28"/>
        </w:rPr>
        <w:t>化工工业园酒泉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路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21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号（见下图</w:t>
      </w:r>
      <w:r>
        <w:rPr>
          <w:rFonts w:ascii="宋体" w:hAnsi="宋体" w:eastAsia="宋体" w:cs="宋体"/>
          <w:spacing w:val="9"/>
          <w:sz w:val="28"/>
          <w:szCs w:val="28"/>
        </w:rPr>
        <w:t>），</w:t>
      </w:r>
      <w:r>
        <w:rPr>
          <w:rFonts w:ascii="宋体" w:hAnsi="宋体" w:eastAsia="宋体" w:cs="宋体"/>
          <w:spacing w:val="-8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占地面积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67548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平方米，为工业用地，公司南侧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为园区酒泉路，西侧为</w:t>
      </w:r>
      <w:r>
        <w:rPr>
          <w:rFonts w:hint="eastAsia" w:ascii="宋体" w:hAnsi="宋体" w:eastAsia="宋体" w:cs="宋体"/>
          <w:spacing w:val="2"/>
          <w:sz w:val="28"/>
          <w:szCs w:val="28"/>
          <w:lang w:val="en-US" w:eastAsia="zh-CN"/>
        </w:rPr>
        <w:t>玉门市科浩催化剂</w:t>
      </w:r>
      <w:r>
        <w:rPr>
          <w:rFonts w:ascii="宋体" w:hAnsi="宋体" w:eastAsia="宋体" w:cs="宋体"/>
          <w:spacing w:val="2"/>
          <w:sz w:val="28"/>
          <w:szCs w:val="28"/>
        </w:rPr>
        <w:t>有限公司，东</w:t>
      </w:r>
      <w:r>
        <w:rPr>
          <w:rFonts w:ascii="宋体" w:hAnsi="宋体" w:eastAsia="宋体" w:cs="宋体"/>
          <w:spacing w:val="1"/>
          <w:sz w:val="28"/>
          <w:szCs w:val="28"/>
        </w:rPr>
        <w:t>侧为</w:t>
      </w:r>
      <w:r>
        <w:rPr>
          <w:rFonts w:hint="eastAsia" w:ascii="宋体" w:hAnsi="宋体" w:eastAsia="宋体" w:cs="宋体"/>
          <w:spacing w:val="1"/>
          <w:sz w:val="28"/>
          <w:szCs w:val="28"/>
          <w:lang w:val="en-US" w:eastAsia="zh-CN"/>
        </w:rPr>
        <w:t>甘肃汉隆化工有限公司</w:t>
      </w:r>
      <w:r>
        <w:rPr>
          <w:rFonts w:ascii="宋体" w:hAnsi="宋体" w:eastAsia="宋体" w:cs="宋体"/>
          <w:spacing w:val="-1"/>
          <w:sz w:val="28"/>
          <w:szCs w:val="28"/>
        </w:rPr>
        <w:t>，北侧为园区兴达路。</w:t>
      </w:r>
    </w:p>
    <w:p>
      <w:pPr>
        <w:spacing w:before="290" w:line="624" w:lineRule="exact"/>
        <w:ind w:right="78" w:firstLine="420" w:firstLineChars="20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931545</wp:posOffset>
            </wp:positionH>
            <wp:positionV relativeFrom="page">
              <wp:posOffset>2803525</wp:posOffset>
            </wp:positionV>
            <wp:extent cx="5979795" cy="3318510"/>
            <wp:effectExtent l="0" t="0" r="1905" b="1524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2"/>
          <w:position w:val="26"/>
          <w:sz w:val="28"/>
          <w:szCs w:val="28"/>
        </w:rPr>
        <w:t>我司属于化学</w:t>
      </w:r>
      <w:r>
        <w:rPr>
          <w:rFonts w:hint="eastAsia" w:ascii="宋体" w:hAnsi="宋体" w:eastAsia="宋体" w:cs="宋体"/>
          <w:spacing w:val="2"/>
          <w:position w:val="26"/>
          <w:sz w:val="28"/>
          <w:szCs w:val="28"/>
          <w:lang w:val="en-US" w:eastAsia="zh-CN"/>
        </w:rPr>
        <w:t>原料</w:t>
      </w:r>
      <w:r>
        <w:rPr>
          <w:rFonts w:ascii="宋体" w:hAnsi="宋体" w:eastAsia="宋体" w:cs="宋体"/>
          <w:spacing w:val="2"/>
          <w:position w:val="26"/>
          <w:sz w:val="28"/>
          <w:szCs w:val="28"/>
        </w:rPr>
        <w:t>药制造行业，营业范围为</w:t>
      </w:r>
      <w:r>
        <w:rPr>
          <w:rFonts w:hint="eastAsia" w:ascii="宋体" w:hAnsi="宋体" w:eastAsia="宋体" w:cs="宋体"/>
          <w:spacing w:val="2"/>
          <w:position w:val="26"/>
          <w:sz w:val="28"/>
          <w:szCs w:val="28"/>
          <w:lang w:val="en-US" w:eastAsia="zh-CN"/>
        </w:rPr>
        <w:t>医</w:t>
      </w:r>
      <w:r>
        <w:rPr>
          <w:rFonts w:ascii="宋体" w:hAnsi="宋体" w:eastAsia="宋体" w:cs="宋体"/>
          <w:spacing w:val="2"/>
          <w:position w:val="26"/>
          <w:sz w:val="28"/>
          <w:szCs w:val="28"/>
        </w:rPr>
        <w:t>药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中间体的生</w:t>
      </w:r>
      <w:r>
        <w:rPr>
          <w:rFonts w:ascii="宋体" w:hAnsi="宋体" w:eastAsia="宋体" w:cs="宋体"/>
          <w:spacing w:val="2"/>
          <w:position w:val="26"/>
          <w:sz w:val="28"/>
          <w:szCs w:val="28"/>
        </w:rPr>
        <w:t>产和经营</w:t>
      </w:r>
      <w:r>
        <w:rPr>
          <w:rFonts w:hint="eastAsia" w:ascii="宋体" w:hAnsi="宋体" w:eastAsia="宋体" w:cs="宋体"/>
          <w:spacing w:val="2"/>
          <w:position w:val="26"/>
          <w:sz w:val="28"/>
          <w:szCs w:val="28"/>
          <w:lang w:eastAsia="zh-CN"/>
        </w:rPr>
        <w:t>。</w:t>
      </w:r>
    </w:p>
    <w:p>
      <w:pPr>
        <w:pStyle w:val="3"/>
        <w:spacing w:line="265" w:lineRule="auto"/>
      </w:pPr>
    </w:p>
    <w:p>
      <w:pPr>
        <w:pStyle w:val="3"/>
        <w:spacing w:line="265" w:lineRule="auto"/>
      </w:pPr>
    </w:p>
    <w:p>
      <w:pPr>
        <w:pStyle w:val="3"/>
        <w:spacing w:line="265" w:lineRule="auto"/>
      </w:pPr>
    </w:p>
    <w:p>
      <w:pPr>
        <w:pStyle w:val="3"/>
        <w:spacing w:line="265" w:lineRule="auto"/>
      </w:pPr>
    </w:p>
    <w:p>
      <w:pPr>
        <w:pStyle w:val="3"/>
        <w:spacing w:line="266" w:lineRule="auto"/>
      </w:pPr>
    </w:p>
    <w:p>
      <w:pPr>
        <w:spacing w:before="69" w:line="220" w:lineRule="auto"/>
        <w:ind w:left="21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FFFFFF"/>
          <w:spacing w:val="-3"/>
          <w:sz w:val="21"/>
          <w:szCs w:val="21"/>
        </w:rPr>
        <w:t>玉门市</w:t>
      </w:r>
    </w:p>
    <w:p>
      <w:pPr>
        <w:pStyle w:val="3"/>
        <w:spacing w:line="260" w:lineRule="auto"/>
      </w:pPr>
    </w:p>
    <w:p>
      <w:pPr>
        <w:pStyle w:val="3"/>
        <w:spacing w:line="261" w:lineRule="auto"/>
      </w:pPr>
    </w:p>
    <w:p>
      <w:pPr>
        <w:spacing w:line="1108" w:lineRule="exact"/>
        <w:ind w:firstLine="6625"/>
      </w:pPr>
    </w:p>
    <w:p>
      <w:pPr>
        <w:pStyle w:val="3"/>
        <w:spacing w:line="242" w:lineRule="auto"/>
      </w:pPr>
    </w:p>
    <w:p>
      <w:pPr>
        <w:pStyle w:val="3"/>
        <w:spacing w:before="1" w:line="992" w:lineRule="exact"/>
        <w:ind w:firstLine="7405"/>
      </w:pPr>
    </w:p>
    <w:p>
      <w:pPr>
        <w:pStyle w:val="3"/>
        <w:spacing w:line="278" w:lineRule="auto"/>
      </w:pPr>
    </w:p>
    <w:p>
      <w:pPr>
        <w:pStyle w:val="3"/>
        <w:spacing w:line="278" w:lineRule="auto"/>
      </w:pPr>
    </w:p>
    <w:p>
      <w:pPr>
        <w:pStyle w:val="3"/>
        <w:spacing w:line="278" w:lineRule="auto"/>
      </w:pPr>
    </w:p>
    <w:p>
      <w:pPr>
        <w:spacing w:before="91" w:line="221" w:lineRule="auto"/>
        <w:ind w:left="14"/>
        <w:outlineLvl w:val="1"/>
        <w:rPr>
          <w:rFonts w:ascii="宋体" w:hAnsi="宋体" w:eastAsia="宋体" w:cs="宋体"/>
          <w:sz w:val="28"/>
          <w:szCs w:val="28"/>
        </w:rPr>
      </w:pPr>
      <w:bookmarkStart w:id="16" w:name="_Toc29592"/>
      <w:bookmarkStart w:id="17" w:name="_Toc2877"/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2.3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企业用地已有的环境调查与监测情况</w:t>
      </w:r>
      <w:bookmarkEnd w:id="16"/>
      <w:bookmarkEnd w:id="17"/>
    </w:p>
    <w:p>
      <w:pPr>
        <w:spacing w:before="293" w:line="411" w:lineRule="auto"/>
        <w:ind w:left="9" w:firstLine="5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根据《环境影响评价技术导则—土壤环境（试行）》（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1"/>
          <w:sz w:val="28"/>
          <w:szCs w:val="28"/>
        </w:rPr>
        <w:t>964-2018）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附录A，建设项目为</w:t>
      </w:r>
      <w:r>
        <w:rPr>
          <w:rFonts w:ascii="宋体" w:hAnsi="宋体" w:eastAsia="宋体" w:cs="宋体"/>
          <w:spacing w:val="-7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I类项目；项目生产厂区占地面积</w:t>
      </w:r>
      <w:r>
        <w:rPr>
          <w:rFonts w:ascii="宋体" w:hAnsi="宋体" w:eastAsia="宋体" w:cs="宋体"/>
          <w:spacing w:val="-8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0"/>
          <w:sz w:val="28"/>
          <w:szCs w:val="28"/>
          <w:lang w:val="en-US" w:eastAsia="zh-CN"/>
        </w:rPr>
        <w:t>67548</w:t>
      </w:r>
      <w:r>
        <w:rPr>
          <w:rFonts w:ascii="宋体" w:hAnsi="宋体" w:eastAsia="宋体" w:cs="宋体"/>
          <w:spacing w:val="-10"/>
          <w:sz w:val="28"/>
          <w:szCs w:val="28"/>
        </w:rPr>
        <w:t>m2</w:t>
      </w:r>
      <w:r>
        <w:rPr>
          <w:rFonts w:ascii="宋体" w:hAnsi="宋体" w:eastAsia="宋体" w:cs="宋体"/>
          <w:spacing w:val="-63"/>
          <w:w w:val="86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占地规模为中型；项目位于位于玉门东建材化工工业园（酒泉循</w:t>
      </w:r>
      <w:r>
        <w:rPr>
          <w:rFonts w:ascii="宋体" w:hAnsi="宋体" w:eastAsia="宋体" w:cs="宋体"/>
          <w:spacing w:val="1"/>
          <w:sz w:val="28"/>
          <w:szCs w:val="28"/>
        </w:rPr>
        <w:t>环经济产业园</w:t>
      </w:r>
      <w:r>
        <w:rPr>
          <w:rFonts w:ascii="宋体" w:hAnsi="宋体" w:eastAsia="宋体" w:cs="宋体"/>
          <w:spacing w:val="15"/>
          <w:sz w:val="28"/>
          <w:szCs w:val="28"/>
        </w:rPr>
        <w:t>），</w:t>
      </w:r>
      <w:r>
        <w:rPr>
          <w:rFonts w:ascii="宋体" w:hAnsi="宋体" w:eastAsia="宋体" w:cs="宋体"/>
          <w:spacing w:val="1"/>
          <w:sz w:val="28"/>
          <w:szCs w:val="28"/>
        </w:rPr>
        <w:t>周边不存在其他土壤环境敏感目标，项目所在地区周边的土壤环</w:t>
      </w:r>
      <w:r>
        <w:rPr>
          <w:rFonts w:ascii="宋体" w:hAnsi="宋体" w:eastAsia="宋体" w:cs="宋体"/>
          <w:sz w:val="28"/>
          <w:szCs w:val="28"/>
        </w:rPr>
        <w:t xml:space="preserve"> 境敏感程度为不敏感。由表</w:t>
      </w:r>
      <w:r>
        <w:rPr>
          <w:rFonts w:ascii="宋体" w:hAnsi="宋体" w:eastAsia="宋体" w:cs="宋体"/>
          <w:spacing w:val="-24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1.5.7-2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可知，项目生产厂区土壤环境评价等</w:t>
      </w:r>
    </w:p>
    <w:p>
      <w:pPr>
        <w:spacing w:before="1" w:line="221" w:lineRule="auto"/>
        <w:ind w:left="1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级为二级。</w:t>
      </w:r>
    </w:p>
    <w:p>
      <w:pPr>
        <w:spacing w:line="525" w:lineRule="exact"/>
      </w:pPr>
    </w:p>
    <w:p>
      <w:pPr>
        <w:spacing w:before="190" w:line="411" w:lineRule="auto"/>
        <w:ind w:left="10" w:right="76" w:firstLine="56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7"/>
          <w:sz w:val="28"/>
          <w:szCs w:val="28"/>
        </w:rPr>
        <w:t>距离项目东侧嘉峪关黑山湖水源地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7"/>
          <w:sz w:val="28"/>
          <w:szCs w:val="28"/>
        </w:rPr>
        <w:t>12</w:t>
      </w:r>
      <w:r>
        <w:rPr>
          <w:rFonts w:ascii="宋体" w:hAnsi="宋体" w:eastAsia="宋体" w:cs="宋体"/>
          <w:sz w:val="28"/>
          <w:szCs w:val="28"/>
        </w:rPr>
        <w:t>km</w:t>
      </w:r>
      <w:r>
        <w:rPr>
          <w:rFonts w:ascii="宋体" w:hAnsi="宋体" w:eastAsia="宋体" w:cs="宋体"/>
          <w:spacing w:val="17"/>
          <w:sz w:val="28"/>
          <w:szCs w:val="28"/>
        </w:rPr>
        <w:t>，距离嘉峪关Ⅰ区水源地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11.7</w:t>
      </w:r>
      <w:r>
        <w:rPr>
          <w:rFonts w:ascii="宋体" w:hAnsi="宋体" w:eastAsia="宋体" w:cs="宋体"/>
          <w:sz w:val="28"/>
          <w:szCs w:val="28"/>
        </w:rPr>
        <w:t>km</w:t>
      </w:r>
      <w:r>
        <w:rPr>
          <w:rFonts w:ascii="宋体" w:hAnsi="宋体" w:eastAsia="宋体" w:cs="宋体"/>
          <w:spacing w:val="2"/>
          <w:sz w:val="28"/>
          <w:szCs w:val="28"/>
        </w:rPr>
        <w:t>。根据《玉门东建材化工工业园（酒泉循环经济产</w:t>
      </w:r>
      <w:r>
        <w:rPr>
          <w:rFonts w:ascii="宋体" w:hAnsi="宋体" w:eastAsia="宋体" w:cs="宋体"/>
          <w:spacing w:val="1"/>
          <w:sz w:val="28"/>
          <w:szCs w:val="28"/>
        </w:rPr>
        <w:t>业园）发展规划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（2019-2025）环境影响报告书》对地下水预测结果可知，污水</w:t>
      </w:r>
      <w:r>
        <w:rPr>
          <w:rFonts w:ascii="宋体" w:hAnsi="宋体" w:eastAsia="宋体" w:cs="宋体"/>
          <w:spacing w:val="-3"/>
          <w:sz w:val="28"/>
          <w:szCs w:val="28"/>
        </w:rPr>
        <w:t>处理厂所在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地地下水迁移至嘉峪关黑山湖水源地所需时间为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80a。污水处理站正常状况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下渗的废水对地下水环境的影响在可接受的范围内；根据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2016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年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7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月《环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境影响评价》期刊第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38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卷第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4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期“优化评价内容严控新增污染——《环境</w:t>
      </w:r>
    </w:p>
    <w:p>
      <w:pPr>
        <w:spacing w:line="218" w:lineRule="auto"/>
        <w:ind w:left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影响评价技术导则地下水环境》解读</w:t>
      </w:r>
      <w:r>
        <w:rPr>
          <w:rFonts w:ascii="宋体" w:hAnsi="宋体" w:eastAsia="宋体" w:cs="宋体"/>
          <w:spacing w:val="-8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”可知，敏感程度分区如下图所示。</w:t>
      </w:r>
    </w:p>
    <w:p>
      <w:pPr>
        <w:pStyle w:val="3"/>
        <w:spacing w:line="243" w:lineRule="auto"/>
      </w:pPr>
    </w:p>
    <w:p>
      <w:pPr>
        <w:spacing w:line="3787" w:lineRule="exact"/>
        <w:ind w:firstLine="211"/>
      </w:pPr>
      <w:r>
        <w:rPr>
          <w:position w:val="-75"/>
        </w:rPr>
        <w:drawing>
          <wp:inline distT="0" distB="0" distL="0" distR="0">
            <wp:extent cx="5463540" cy="2404745"/>
            <wp:effectExtent l="0" t="0" r="3810" b="14605"/>
            <wp:docPr id="37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40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9" w:line="411" w:lineRule="auto"/>
        <w:ind w:left="10" w:firstLine="561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根据预测可知，项目所在地溶质质点迁移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5</w:t>
      </w:r>
      <w:r>
        <w:rPr>
          <w:rFonts w:ascii="宋体" w:hAnsi="宋体" w:eastAsia="宋体" w:cs="宋体"/>
          <w:spacing w:val="-6"/>
          <w:sz w:val="28"/>
          <w:szCs w:val="28"/>
        </w:rPr>
        <w:t>000d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距离为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2000m，黑山湖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水源地距离本项目约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12km，嘉峪关Ⅰ区水源地距离本项目约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11.7k</w:t>
      </w:r>
      <w:r>
        <w:rPr>
          <w:rFonts w:ascii="宋体" w:hAnsi="宋体" w:eastAsia="宋体" w:cs="宋体"/>
          <w:spacing w:val="-10"/>
          <w:sz w:val="28"/>
          <w:szCs w:val="28"/>
        </w:rPr>
        <w:t>m，因此，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根据上图可知，本项目所在地属于不敏感区。且根据调查可知</w:t>
      </w:r>
      <w:r>
        <w:rPr>
          <w:rFonts w:ascii="宋体" w:hAnsi="宋体" w:eastAsia="宋体" w:cs="宋体"/>
          <w:spacing w:val="1"/>
          <w:sz w:val="28"/>
          <w:szCs w:val="28"/>
        </w:rPr>
        <w:t>，项目周边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也无分散式饮用水水源地及居民取水井，所以项目所在地的地</w:t>
      </w:r>
      <w:r>
        <w:rPr>
          <w:rFonts w:ascii="宋体" w:hAnsi="宋体" w:eastAsia="宋体" w:cs="宋体"/>
          <w:spacing w:val="1"/>
          <w:sz w:val="28"/>
          <w:szCs w:val="28"/>
        </w:rPr>
        <w:t>下水敏感程</w:t>
      </w:r>
    </w:p>
    <w:p>
      <w:pPr>
        <w:spacing w:before="2" w:line="219" w:lineRule="auto"/>
        <w:ind w:left="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度为：不敏感。</w:t>
      </w:r>
    </w:p>
    <w:p>
      <w:pPr>
        <w:spacing w:before="291" w:line="411" w:lineRule="auto"/>
        <w:ind w:left="19" w:right="78" w:firstLine="5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企业每年对土壤和地下水进行自行监测，监测结果全</w:t>
      </w:r>
      <w:r>
        <w:rPr>
          <w:rFonts w:ascii="宋体" w:hAnsi="宋体" w:eastAsia="宋体" w:cs="宋体"/>
          <w:spacing w:val="1"/>
          <w:sz w:val="28"/>
          <w:szCs w:val="28"/>
        </w:rPr>
        <w:t>部正常，同时按</w:t>
      </w:r>
      <w:r>
        <w:rPr>
          <w:rFonts w:ascii="宋体" w:hAnsi="宋体" w:eastAsia="宋体" w:cs="宋体"/>
          <w:sz w:val="28"/>
          <w:szCs w:val="28"/>
        </w:rPr>
        <w:t xml:space="preserve"> 照玉门市生态环境部门的要求，</w:t>
      </w:r>
      <w:r>
        <w:rPr>
          <w:rFonts w:ascii="宋体" w:hAnsi="宋体" w:eastAsia="宋体" w:cs="宋体"/>
          <w:spacing w:val="-80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日常加强土壤和地</w:t>
      </w:r>
      <w:r>
        <w:rPr>
          <w:rFonts w:ascii="宋体" w:hAnsi="宋体" w:eastAsia="宋体" w:cs="宋体"/>
          <w:spacing w:val="-1"/>
          <w:sz w:val="28"/>
          <w:szCs w:val="28"/>
        </w:rPr>
        <w:t>下水的污染监管及隐患</w:t>
      </w:r>
    </w:p>
    <w:p>
      <w:pPr>
        <w:spacing w:before="2" w:line="219" w:lineRule="auto"/>
        <w:ind w:left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排查，确保土壤及地下水不受污染。</w:t>
      </w:r>
    </w:p>
    <w:p>
      <w:pPr>
        <w:spacing w:before="272" w:line="225" w:lineRule="auto"/>
        <w:ind w:left="18"/>
        <w:outlineLvl w:val="0"/>
        <w:rPr>
          <w:rFonts w:ascii="宋体" w:hAnsi="宋体" w:eastAsia="宋体" w:cs="宋体"/>
          <w:sz w:val="31"/>
          <w:szCs w:val="31"/>
        </w:rPr>
      </w:pPr>
      <w:bookmarkStart w:id="18" w:name="_Toc24593"/>
      <w:r>
        <w:rPr>
          <w:rFonts w:ascii="宋体" w:hAnsi="宋体" w:eastAsia="宋体" w:cs="宋体"/>
          <w:spacing w:val="3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宋体" w:hAnsi="宋体" w:eastAsia="宋体" w:cs="宋体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地勘资料</w:t>
      </w:r>
      <w:bookmarkEnd w:id="18"/>
    </w:p>
    <w:p>
      <w:pPr>
        <w:spacing w:line="525" w:lineRule="exact"/>
      </w:pPr>
    </w:p>
    <w:p>
      <w:pPr>
        <w:spacing w:before="186" w:line="220" w:lineRule="auto"/>
        <w:ind w:left="16"/>
        <w:outlineLvl w:val="1"/>
        <w:rPr>
          <w:rFonts w:ascii="宋体" w:hAnsi="宋体" w:eastAsia="宋体" w:cs="宋体"/>
          <w:sz w:val="28"/>
          <w:szCs w:val="28"/>
        </w:rPr>
      </w:pPr>
      <w:bookmarkStart w:id="19" w:name="_Toc4427"/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3.1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地质信息</w:t>
      </w:r>
      <w:bookmarkEnd w:id="19"/>
    </w:p>
    <w:p>
      <w:pPr>
        <w:spacing w:before="292" w:line="411" w:lineRule="auto"/>
        <w:ind w:left="10" w:right="237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玉门市地处祁连山山前洪积扇平原顶部，地形开阔平坦，地势略</w:t>
      </w:r>
      <w:r>
        <w:rPr>
          <w:rFonts w:ascii="宋体" w:hAnsi="宋体" w:eastAsia="宋体" w:cs="宋体"/>
          <w:spacing w:val="1"/>
          <w:sz w:val="28"/>
          <w:szCs w:val="28"/>
        </w:rPr>
        <w:t>向北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倾，海拔高度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2100～2400m，南部为祁连山</w:t>
      </w:r>
      <w:r>
        <w:rPr>
          <w:rFonts w:ascii="宋体" w:hAnsi="宋体" w:eastAsia="宋体" w:cs="宋体"/>
          <w:spacing w:val="-5"/>
          <w:sz w:val="28"/>
          <w:szCs w:val="28"/>
        </w:rPr>
        <w:t>区，北部为赤金盆地。南部祁连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山大致呈西北至东南方向走向，山区地形复杂，高山深谷错综</w:t>
      </w:r>
      <w:r>
        <w:rPr>
          <w:rFonts w:ascii="宋体" w:hAnsi="宋体" w:eastAsia="宋体" w:cs="宋体"/>
          <w:spacing w:val="1"/>
          <w:sz w:val="28"/>
          <w:szCs w:val="28"/>
        </w:rPr>
        <w:t>分布，一般</w:t>
      </w:r>
    </w:p>
    <w:p>
      <w:pPr>
        <w:spacing w:before="1"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山峰海拔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3000m</w:t>
      </w:r>
      <w:r>
        <w:rPr>
          <w:rFonts w:ascii="宋体" w:hAnsi="宋体" w:eastAsia="宋体" w:cs="宋体"/>
          <w:spacing w:val="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以上，最高峰妖魔山达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4585m，山势陡峭，多岩石裸露。</w:t>
      </w:r>
    </w:p>
    <w:p>
      <w:pPr>
        <w:spacing w:before="290" w:line="624" w:lineRule="exact"/>
        <w:ind w:left="5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我公司场地地貌单元属祁连山山前冲洪积平原。场地地形呈西高东低、</w:t>
      </w:r>
    </w:p>
    <w:p>
      <w:pPr>
        <w:spacing w:before="2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2"/>
          <w:sz w:val="28"/>
          <w:szCs w:val="28"/>
        </w:rPr>
        <w:t>南高北低，经现场测量，勘探点高程在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1947.76－1955.87m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之间，高差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8.11m。</w:t>
      </w:r>
    </w:p>
    <w:p>
      <w:pPr>
        <w:spacing w:before="292" w:line="411" w:lineRule="auto"/>
        <w:ind w:left="14" w:right="237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从构造单元上看，本区位于祁连山与天山褶皱带之间，走廊</w:t>
      </w:r>
      <w:r>
        <w:rPr>
          <w:rFonts w:ascii="宋体" w:hAnsi="宋体" w:eastAsia="宋体" w:cs="宋体"/>
          <w:spacing w:val="1"/>
          <w:sz w:val="28"/>
          <w:szCs w:val="28"/>
        </w:rPr>
        <w:t>凹陷带北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部。一级构造单元属祁连山褶皱系，玉门市所处二级</w:t>
      </w:r>
      <w:r>
        <w:rPr>
          <w:rFonts w:ascii="宋体" w:hAnsi="宋体" w:eastAsia="宋体" w:cs="宋体"/>
          <w:spacing w:val="1"/>
          <w:sz w:val="28"/>
          <w:szCs w:val="28"/>
        </w:rPr>
        <w:t>构造单元为走廊过渡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带，新构造运动以稳定下降为主要特点。玉门市北部</w:t>
      </w:r>
      <w:r>
        <w:rPr>
          <w:rFonts w:ascii="宋体" w:hAnsi="宋体" w:eastAsia="宋体" w:cs="宋体"/>
          <w:spacing w:val="1"/>
          <w:sz w:val="28"/>
          <w:szCs w:val="28"/>
        </w:rPr>
        <w:t>的老君庙断层，呈北</w:t>
      </w:r>
      <w:r>
        <w:rPr>
          <w:rFonts w:ascii="宋体" w:hAnsi="宋体" w:eastAsia="宋体" w:cs="宋体"/>
          <w:sz w:val="28"/>
          <w:szCs w:val="28"/>
        </w:rPr>
        <w:t xml:space="preserve"> 西西向，是一条隐伏的非发震断层，埋深超过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60m，晚更新世以前，即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10</w:t>
      </w:r>
    </w:p>
    <w:p>
      <w:pPr>
        <w:spacing w:before="2" w:line="219" w:lineRule="auto"/>
        <w:ind w:left="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万年前曾有活动，晚更新世以来活动停止，对场地抗震性能无影响。</w:t>
      </w:r>
    </w:p>
    <w:p>
      <w:pPr>
        <w:spacing w:before="290" w:line="624" w:lineRule="exact"/>
        <w:ind w:left="5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position w:val="26"/>
          <w:sz w:val="28"/>
          <w:szCs w:val="28"/>
        </w:rPr>
        <w:t>我公司场地位于玉门东镇，地貌单元属祁连山山前冲洪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积戈壁平原，</w:t>
      </w:r>
    </w:p>
    <w:p>
      <w:pPr>
        <w:spacing w:before="2" w:line="219" w:lineRule="auto"/>
        <w:ind w:left="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勘察场区无活动断裂穿越，属相对稳定区。</w:t>
      </w:r>
    </w:p>
    <w:p>
      <w:pPr>
        <w:spacing w:before="290" w:line="220" w:lineRule="auto"/>
        <w:ind w:left="16"/>
        <w:outlineLvl w:val="1"/>
        <w:rPr>
          <w:rFonts w:ascii="宋体" w:hAnsi="宋体" w:eastAsia="宋体" w:cs="宋体"/>
          <w:sz w:val="28"/>
          <w:szCs w:val="28"/>
        </w:rPr>
      </w:pPr>
      <w:bookmarkStart w:id="20" w:name="_Toc14700"/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3.2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水文地质信息</w:t>
      </w:r>
      <w:bookmarkEnd w:id="20"/>
    </w:p>
    <w:p>
      <w:pPr>
        <w:spacing w:before="292" w:line="405" w:lineRule="auto"/>
        <w:ind w:left="10" w:right="158" w:firstLine="55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我公司场地地下水属季节性动水流，地下水水位变幅受祁连山雪融水及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疏勒河地下径 流、人工抽取地下水以及冰雪融化、农田灌</w:t>
      </w:r>
      <w:r>
        <w:rPr>
          <w:rFonts w:ascii="宋体" w:hAnsi="宋体" w:eastAsia="宋体" w:cs="宋体"/>
          <w:spacing w:val="-9"/>
          <w:sz w:val="28"/>
          <w:szCs w:val="28"/>
        </w:rPr>
        <w:t>溉等因素的影响，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水位变幅较大。根据区域水文地质资料，该地区地下水年变幅为</w:t>
      </w:r>
      <w:r>
        <w:rPr>
          <w:rFonts w:ascii="宋体" w:hAnsi="宋体" w:eastAsia="宋体" w:cs="宋体"/>
          <w:spacing w:val="-48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12"/>
          <w:sz w:val="28"/>
          <w:szCs w:val="28"/>
        </w:rPr>
        <w:t>0.80~1.20m</w:t>
      </w:r>
      <w:r>
        <w:rPr>
          <w:rFonts w:ascii="宋体" w:hAnsi="宋体" w:eastAsia="宋体" w:cs="宋体"/>
          <w:spacing w:val="-12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地下水抗浮设计最高水位建议按</w:t>
      </w:r>
      <w:r>
        <w:rPr>
          <w:rFonts w:ascii="宋体" w:hAnsi="宋体" w:eastAsia="宋体" w:cs="宋体"/>
          <w:spacing w:val="-51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7"/>
          <w:sz w:val="28"/>
          <w:szCs w:val="28"/>
        </w:rPr>
        <w:t>1498.6m</w:t>
      </w:r>
      <w:r>
        <w:rPr>
          <w:rFonts w:ascii="Calibri" w:hAnsi="Calibri" w:eastAsia="Calibri" w:cs="Calibri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左</w:t>
      </w:r>
      <w:r>
        <w:rPr>
          <w:rFonts w:ascii="宋体" w:hAnsi="宋体" w:eastAsia="宋体" w:cs="宋体"/>
          <w:spacing w:val="-8"/>
          <w:sz w:val="28"/>
          <w:szCs w:val="28"/>
        </w:rPr>
        <w:t>右考虑。据相关资料，粉质粘土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渗透系数标准值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6"/>
          <w:sz w:val="28"/>
          <w:szCs w:val="28"/>
        </w:rPr>
        <w:t>K=0.005m/d</w:t>
      </w:r>
      <w:r>
        <w:rPr>
          <w:rFonts w:ascii="Calibri" w:hAnsi="Calibri" w:eastAsia="Calibri" w:cs="Calibri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，圆砾渗透系数经验值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6"/>
          <w:sz w:val="28"/>
          <w:szCs w:val="28"/>
        </w:rPr>
        <w:t>K=50~75m/d</w:t>
      </w:r>
      <w:r>
        <w:rPr>
          <w:rFonts w:ascii="Calibri" w:hAnsi="Calibri" w:eastAsia="Calibri" w:cs="Calibri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，细砂渗透</w:t>
      </w:r>
    </w:p>
    <w:p>
      <w:pPr>
        <w:spacing w:line="376" w:lineRule="exact"/>
        <w:ind w:left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"/>
          <w:sz w:val="28"/>
          <w:szCs w:val="28"/>
        </w:rPr>
        <w:t>系数经验值</w:t>
      </w:r>
      <w:r>
        <w:rPr>
          <w:rFonts w:ascii="宋体" w:hAnsi="宋体" w:eastAsia="宋体" w:cs="宋体"/>
          <w:spacing w:val="-52"/>
          <w:position w:val="2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5"/>
          <w:position w:val="2"/>
          <w:sz w:val="28"/>
          <w:szCs w:val="28"/>
        </w:rPr>
        <w:t>K=5.0m/d</w:t>
      </w:r>
      <w:r>
        <w:rPr>
          <w:rFonts w:ascii="宋体" w:hAnsi="宋体" w:eastAsia="宋体" w:cs="宋体"/>
          <w:spacing w:val="-5"/>
          <w:position w:val="2"/>
          <w:sz w:val="28"/>
          <w:szCs w:val="28"/>
        </w:rPr>
        <w:t>。</w:t>
      </w:r>
    </w:p>
    <w:p>
      <w:pPr>
        <w:spacing w:before="296" w:line="219" w:lineRule="auto"/>
        <w:ind w:left="5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项日区无地表径流，地下水位较深，对本项日</w:t>
      </w:r>
      <w:r>
        <w:rPr>
          <w:rFonts w:ascii="宋体" w:hAnsi="宋体" w:eastAsia="宋体" w:cs="宋体"/>
          <w:spacing w:val="-5"/>
          <w:sz w:val="28"/>
          <w:szCs w:val="28"/>
        </w:rPr>
        <w:t>建设基本无影响。</w:t>
      </w:r>
    </w:p>
    <w:p>
      <w:pPr>
        <w:spacing w:line="525" w:lineRule="exact"/>
      </w:pPr>
    </w:p>
    <w:p>
      <w:pPr>
        <w:spacing w:before="168" w:line="225" w:lineRule="auto"/>
        <w:ind w:left="11"/>
        <w:outlineLvl w:val="0"/>
        <w:rPr>
          <w:rFonts w:ascii="宋体" w:hAnsi="宋体" w:eastAsia="宋体" w:cs="宋体"/>
          <w:sz w:val="31"/>
          <w:szCs w:val="31"/>
        </w:rPr>
      </w:pPr>
      <w:bookmarkStart w:id="21" w:name="_Toc27854"/>
      <w:r>
        <w:rPr>
          <w:rFonts w:ascii="宋体" w:hAnsi="宋体" w:eastAsia="宋体" w:cs="宋体"/>
          <w:spacing w:val="7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企业生产及污染防治情况</w:t>
      </w:r>
      <w:bookmarkEnd w:id="21"/>
    </w:p>
    <w:p>
      <w:pPr>
        <w:spacing w:before="264" w:line="220" w:lineRule="auto"/>
        <w:ind w:left="9"/>
        <w:outlineLvl w:val="1"/>
        <w:rPr>
          <w:rFonts w:ascii="宋体" w:hAnsi="宋体" w:eastAsia="宋体" w:cs="宋体"/>
          <w:sz w:val="28"/>
          <w:szCs w:val="28"/>
        </w:rPr>
      </w:pPr>
      <w:bookmarkStart w:id="22" w:name="_Toc29125"/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4.1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企业生产概况</w:t>
      </w:r>
      <w:bookmarkEnd w:id="22"/>
    </w:p>
    <w:p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footerReference r:id="rId9" w:type="default"/>
          <w:pgSz w:w="11906" w:h="16839"/>
          <w:pgMar w:top="1118" w:right="1380" w:bottom="522" w:left="1416" w:header="0" w:footer="308" w:gutter="0"/>
          <w:pgNumType w:fmt="decimal"/>
          <w:cols w:space="720" w:num="1"/>
        </w:sectPr>
      </w:pPr>
      <w:r>
        <w:rPr>
          <w:rFonts w:ascii="宋体" w:hAnsi="宋体" w:eastAsia="宋体" w:cs="宋体"/>
          <w:spacing w:val="-6"/>
          <w:sz w:val="28"/>
          <w:szCs w:val="28"/>
        </w:rPr>
        <w:t>甘肃盛诺医药科技有限公司（以下简称“盛诺医药”） 成立于2018年9月， 本项目属新建项目，甘肃盛诺医药科技有限公司根据原材料供应情况及市场预测，结合资金筹措情况，选择合理的生产工艺及适当的经济规模， 在甘肃省玉门东建材化工工业园化工产业区建设甘肃盛 诺医药科技有限公司邻苯二甲酰亚胺、邻苯二甲酸等系列产品生产线建设 项目，项目投资 11000 万元，其中环保投资为2000万元，占工程总投 资的18.18%。； 产品在国内大规模工业化生产的企业不多，近几年随着其 应用范围的扩大及使用量增加， 已经形成为较大的市场潜力，在国内有着良好的市场前景</w:t>
      </w:r>
    </w:p>
    <w:p>
      <w:pPr>
        <w:spacing w:before="187" w:line="219" w:lineRule="auto"/>
        <w:outlineLvl w:val="1"/>
        <w:rPr>
          <w:rFonts w:ascii="宋体" w:hAnsi="宋体" w:eastAsia="宋体" w:cs="宋体"/>
          <w:sz w:val="28"/>
          <w:szCs w:val="28"/>
        </w:rPr>
      </w:pPr>
      <w:bookmarkStart w:id="23" w:name="_Toc25000"/>
      <w:bookmarkStart w:id="24" w:name="_Toc24117"/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4.2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企业总平面布置</w:t>
      </w:r>
      <w:bookmarkEnd w:id="23"/>
      <w:bookmarkEnd w:id="24"/>
    </w:p>
    <w:p>
      <w:pPr>
        <w:pStyle w:val="3"/>
        <w:spacing w:line="289" w:lineRule="auto"/>
      </w:pPr>
    </w:p>
    <w:p>
      <w:pPr>
        <w:pStyle w:val="3"/>
        <w:spacing w:line="290" w:lineRule="auto"/>
      </w:pPr>
      <w:r>
        <w:drawing>
          <wp:inline distT="0" distB="0" distL="114300" distR="114300">
            <wp:extent cx="5172075" cy="8839835"/>
            <wp:effectExtent l="0" t="0" r="9525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90" w:lineRule="auto"/>
      </w:pPr>
    </w:p>
    <w:p>
      <w:pPr>
        <w:spacing w:line="12297" w:lineRule="exact"/>
        <w:sectPr>
          <w:footerReference r:id="rId10" w:type="default"/>
          <w:pgSz w:w="11906" w:h="16839"/>
          <w:pgMar w:top="1118" w:right="1626" w:bottom="522" w:left="1416" w:header="0" w:footer="308" w:gutter="0"/>
          <w:pgNumType w:fmt="decimal"/>
          <w:cols w:space="720" w:num="1"/>
        </w:sectPr>
      </w:pPr>
    </w:p>
    <w:p>
      <w:pPr>
        <w:spacing w:before="186" w:line="221" w:lineRule="auto"/>
        <w:outlineLvl w:val="1"/>
        <w:rPr>
          <w:rFonts w:ascii="宋体" w:hAnsi="宋体" w:eastAsia="宋体" w:cs="宋体"/>
          <w:sz w:val="28"/>
          <w:szCs w:val="28"/>
        </w:rPr>
      </w:pPr>
      <w:bookmarkStart w:id="25" w:name="_Toc18158"/>
      <w:bookmarkStart w:id="26" w:name="_Toc23767"/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4.3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各重点场所、重点设施设备情况</w:t>
      </w:r>
      <w:bookmarkEnd w:id="25"/>
      <w:bookmarkEnd w:id="26"/>
    </w:p>
    <w:tbl>
      <w:tblPr>
        <w:tblStyle w:val="8"/>
        <w:tblpPr w:leftFromText="180" w:rightFromText="180" w:vertAnchor="text" w:horzAnchor="page" w:tblpX="1420" w:tblpY="309"/>
        <w:tblOverlap w:val="never"/>
        <w:tblW w:w="990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765"/>
        <w:gridCol w:w="732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baseline"/>
              <w:outlineLvl w:val="9"/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  <w:t>工程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baseline"/>
              <w:outlineLvl w:val="9"/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  <w:t>类别</w:t>
            </w: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baseline"/>
              <w:outlineLvl w:val="9"/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  <w:t>单项工程名称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baseline"/>
              <w:outlineLvl w:val="9"/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1"/>
                <w:szCs w:val="21"/>
              </w:rPr>
              <w:t>工程内容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体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程</w:t>
            </w: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1#生产车间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928.00m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928.00m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58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14.95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设置300吨/年4-氯代苯酐生产线。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2#生产车间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976.00m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976.00m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14.95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200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吨/年N-甲基-4-氨基邻苯二甲酰亚胺生产线、3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吨/年5-氨基间苯二甲酸生产线。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#生产车间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1680.00m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1680.00m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14.95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设置8000吨/年3,4-二氯硝基苯生产线、3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吨/年4,4-氧双邻苯二甲酰亚胺生产线、5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吨/年3-硝基吡唑生产线。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#生产车间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1890.00m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1890.00m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14.95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设置10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吨/年N-甲基-4-硝基邻苯二甲酰亚胺生产线（配套上游原料N-甲基邻苯二甲酰亚胺生产装置）、6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吨/年3-硝基邻苯二甲酸生产线、10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00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吨/年5-硝基间苯二甲酸生产线以及各产品生产线干燥工序。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1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储运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工程</w:t>
            </w: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1#库房（丙类）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1872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1872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117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2#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库房（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乙类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432.00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432.00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27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其中2#库房内设置防火隔墙，设置液氨储存区，液氯储存区占地面积224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放置液氯钢瓶；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其它乙类物料储存区占地面积208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3#库房（甲类）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720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720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其中3#库房内设置防火隔墙，液氨储存区占地面积240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放置液氨钢瓶；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其它物料储存区占地面积480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五金库房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（戊类）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240.00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240.00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氢气鱼雷车场（甲类）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设置氢气鱼雷车场一座，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910.00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910.00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2.5m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设置一座40m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氢气鱼雷罐。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储罐区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占地面积731.00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731.00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eastAsia="zh-CN"/>
              </w:rPr>
              <w:t>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设置30m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一甲胺（40%）、DMF、</w:t>
            </w:r>
            <w:r>
              <w:rPr>
                <w:rFonts w:hint="eastAsia" w:ascii="Times New Roman" w:hAnsi="Times New Roman" w:eastAsia="仿宋" w:cs="Times New Roman"/>
                <w:color w:val="auto"/>
              </w:rPr>
              <w:t>甲醇</w:t>
            </w:r>
            <w:r>
              <w:rPr>
                <w:rFonts w:hint="eastAsia" w:ascii="Times New Roman" w:hAnsi="Times New Roman" w:eastAsia="仿宋" w:cs="Times New Roman"/>
                <w:color w:val="auto"/>
                <w:lang w:eastAsia="zh-CN"/>
              </w:rPr>
              <w:t>、液碱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储罐各一个，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30m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邻二氯苯储、98%硝酸储罐各3各，98%硫酸两个。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针对罐区各液体罐组设置装卸区和泵区。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公辅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工程</w:t>
            </w: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综合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楼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设置综合办公区，占地面积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688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1377.6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层建筑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办公楼（预留）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预留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办公楼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688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1377.6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层建筑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门  卫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设置门卫一间，一层建筑，占地面积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28.00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28.00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3.5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控制室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设置控制室一间，占地面积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 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4.7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m）。独立设置，抗爆结构。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1#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1#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5.2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kern w:val="0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5.2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kern w:val="0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5.2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机柜间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：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5.2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4#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控制室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4#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车间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控制室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eastAsia="zh-CN"/>
              </w:rPr>
              <w:t>；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5.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Times New Roman" w:hAnsi="Times New Roman" w:eastAsia="仿宋" w:cs="Times New Roman"/>
                <w:color w:val="auto"/>
                <w:kern w:val="0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冷冻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机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房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设置50万大卡制冷机组1台，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</w:rPr>
              <w:t>5.</w:t>
            </w:r>
            <w:r>
              <w:rPr>
                <w:rFonts w:hint="eastAsia" w:ascii="Times New Roman" w:hAnsi="Times New Roman" w:eastAsia="仿宋" w:cs="Times New Roman"/>
                <w:color w:val="auto"/>
                <w:kern w:val="0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配电室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设置1间区域配电室，占地面积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4.8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动力车间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设置1间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动力车间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279.00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279.00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7.15m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设置空压/制氮系统。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制氮系统：该项目使用氮气主要置换和保护，使用压缩空气主要为为设备、管道的吹扫及仪表气源。设置1套制氮机组，采用空气变压吸附工艺，产气量为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0Nm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/h(有效耗气量1Nm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/min)，氮气纯度99.9%，排气压力0.7MPa，同时拟配备5m³氮气缓冲罐1台。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空压系统：配备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台螺杆式空压机，排气量均为10Nm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/min，排气压力0.8MPa。并各设5m³空气缓冲罐1台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空压机分别用于生产和仪表气源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导热油炉：设置400万大卡导热油炉2台（一备一用）。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循环水系统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建设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1610.00m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循环水池（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3.5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m），设置800m³/h的凉水塔两座；总循环水量为1200m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/h, 凉水塔处理能力1600m³/h；配套建设循环水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/消防水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泵房，占地面积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126.00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126.00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m;H=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3.5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m），配备流量800m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/h，扬程为32米循环水泵3台（2开1备）。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消防水系统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建设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1188.00m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消防水池，配套建设消防水泵房，消防泵房内设置型号为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X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BD5.8/50-W150-40的消防水泵两台（消防泵参数：Q=70L/s，H=80m），一开一备；稳压泵一台（稳压泵参数Q=5L/s，H=70m），调节容积300L的气压罐一个；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供水工程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项目用水由园区管网供给。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供电工程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项目用电由园区电网供应。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供热工程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项目蒸汽及生活供热由园区统一供给，部分生产供热由燃气导热油炉供给。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环保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  <w:t>工程</w:t>
            </w:r>
          </w:p>
        </w:tc>
        <w:tc>
          <w:tcPr>
            <w:tcW w:w="176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废气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1#车间：设置一套四级碱喷淋；一套二级深度冷凝+活性炭吸附；一套布袋除尘，工艺废气处理后经1#排气筒排放。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2#车间：设置一套二级水喷淋+冷凝除雾+活性炭吸附，工艺废气处理后经2#排气筒排放。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3#车间：设置一套二级深度冷凝+二级酸性尿素喷淋+三级碱喷淋，工艺废气处理后经3#排气筒排放。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#车间：设置一套二级酸（15%盐酸）吸收；一套二级酸性尿素喷淋；经二级酸（15%盐酸）吸收和二级酸性尿素喷淋处理后的废气进入一套二级碱喷淋；设置6套布袋除尘（干燥机自带）+一级深度冷凝，工艺废气处理后经4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污水处理站、三效蒸发、硫酸铵装置：一套二级水喷淋+二级碱喷淋+冷凝除雾+活性炭吸附；一套布袋除尘，工艺废气处理后经5#排气筒排放。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导热油炉废气：采用低氮燃烧处理后经6#排气筒排放。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危险废物库房：危险废物分类放置区上方设置集气罩，废气经集气罩收集后引入活性炭吸附装置处理后经7#排气筒排放。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储罐区：采用双管式物料输送；DMF、甲醇、邻二氯苯等有机可燃液体储罐设置氮封系统，废气呼吸口末端设置冷凝+活性炭吸附进行处理；酸性储罐设置“罐顶联通”，末端安装一级碱喷淋进行处理。处理后的废气无组织排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废水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厂区南侧建设污水处理站一座，分为预处理系统和综合处理系统，占地面积1782m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预处理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装置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高浓硫酸预处理装置：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高浓硫酸废水进入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硫酸铵装置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，经“二级树脂吸附+通氨+三级活性炭吸附+蒸发浓缩+结晶离心”回收硫酸铵；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含氨废水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/高浓有机废水</w:t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预处理装置：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高浓硫酸废水回收硫酸铵后的冷凝水为含氨废水，经“脱氨膜”预处理后同高浓有机废水进入“调节+微电解+一级芬顿氧化+二级芬顿氧化+中和混凝沉淀”预处理系统进入综合处理系统；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高浓有机酸性废水：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分别经“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调节+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树脂吸附”工艺（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套）预处理后进入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三效蒸发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装置，三效蒸发冷凝水进入综合污水处理系统；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含甲胺废水：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经“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调节+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树脂吸附”工艺（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套）预处理后进入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三效蒸发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装置，三效蒸发冷凝水进入综合污水处理系统；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高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lang w:val="en-US" w:eastAsia="zh-CN"/>
              </w:rPr>
              <w:t>盐废水：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高盐废水同经“树脂吸附”预处理后的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废水一同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进入“调节+</w:t>
            </w:r>
            <w:r>
              <w:rPr>
                <w:rFonts w:hint="eastAsia" w:ascii="Times New Roman" w:hAnsi="Times New Roman" w:eastAsia="仿宋" w:cs="Times New Roman"/>
                <w:color w:val="auto"/>
                <w:lang w:val="en-US" w:eastAsia="zh-CN"/>
              </w:rPr>
              <w:t>三效蒸发</w:t>
            </w:r>
            <w:r>
              <w:rPr>
                <w:rFonts w:hint="default" w:ascii="Times New Roman" w:hAnsi="Times New Roman" w:eastAsia="仿宋" w:cs="Times New Roman"/>
                <w:color w:val="auto"/>
                <w:lang w:val="en-US" w:eastAsia="zh-CN"/>
              </w:rPr>
              <w:t>”预处理系统，三效蒸发冷凝水进入综合污水处理系统。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color w:val="auto"/>
                <w:sz w:val="21"/>
                <w:szCs w:val="21"/>
                <w:lang w:val="en-US" w:eastAsia="zh-CN"/>
              </w:rPr>
              <w:t>综合处理系统：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设置300m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auto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/d全厂污水综合处理系统一套，配套在建监测系统一套。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全厂低浓废水收集后同与处理后的高盐废水、高浓有机废水经“调节池+厌氧水解池+一级AO池+中间沉淀池+二级AO池+二沉池+混凝沉淀池”处理达标后排入园区污水处理厂，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auto"/>
                <w:lang w:val="en-US" w:eastAsia="zh-CN"/>
              </w:rPr>
              <w:t>其中生活污水经化粪池（20m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auto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auto"/>
                <w:lang w:val="en-US" w:eastAsia="zh-CN"/>
              </w:rPr>
              <w:t>）预处理后进入污水综合处理系统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固体废物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生活垃圾收集后运往当地垃圾填埋场进行处置；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污水处理站产生的污泥、废水活性炭吸附压滤过程产生的废活性炭、污水处理站三效蒸发产生的废盐、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树脂脱附后产生的有机废物、废树脂、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尾气处理装置定期清理更换产生的废活性炭、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冷凝液、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各车间离心机、压滤机等设施定期更换产生的废滤布、废包装袋、破损包装桶、清罐沉渣、蒸馏残渣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钯碳、废导热油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等危险废物，经收集</w:t>
            </w:r>
            <w:r>
              <w:rPr>
                <w:rFonts w:hint="default" w:ascii="Times New Roman" w:hAnsi="Times New Roman" w:eastAsia="仿宋" w:cs="Times New Roman"/>
                <w:color w:val="auto"/>
                <w:kern w:val="0"/>
                <w:sz w:val="21"/>
                <w:szCs w:val="21"/>
              </w:rPr>
              <w:t>后暂存于危废暂存间，定期委托有资质的单位进行处置。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在厂区建设危险废物库房1座，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占地面积180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9m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baseline"/>
                <w:lang w:eastAsia="zh-CN"/>
              </w:rPr>
              <w:t>）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，建筑面积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180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，用于暂存全厂危险废物，符合《危险废物贮存污染控制标准》(GB18597-2001)相关要求，地面铺设防渗层，渗透系数满足要求。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噪声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产噪设备采用安装减振基座、隔声，采用厂房隔声等措施。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环境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风险</w:t>
            </w: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事故应急池、雨水收集池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储罐区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400.00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的事故应急池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一座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12.5m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8m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4m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），占地面积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100.00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厂区东南角设置一座4508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的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全厂事故应急池（23m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28m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7m）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占地面积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644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厂区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252.00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的初期雨水收集池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一座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21m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10m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×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1.2m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）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zh-CN"/>
              </w:rPr>
              <w:t>地下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  <w:lang w:val="zh-CN"/>
              </w:rPr>
              <w:t>水污染防治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对全厂各生产车间、库房、罐区、污水处理站、危险废物库房等按照《石油化工工程防渗技术规范》的相关要求，分别做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分区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防渗处理。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2#库房液氯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储存区域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设置有毒气体检测报警连锁碱喷淋系统；一套可移动负压吸气装置；设置6m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事故液碱池一座。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</w:p>
        </w:tc>
        <w:tc>
          <w:tcPr>
            <w:tcW w:w="17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3#库房液氨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储存区域</w:t>
            </w:r>
          </w:p>
        </w:tc>
        <w:tc>
          <w:tcPr>
            <w:tcW w:w="73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left"/>
              <w:textAlignment w:val="baseline"/>
              <w:outlineLvl w:val="9"/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设置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可燃/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有毒气体检测报警装置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连锁水喷淋系统</w:t>
            </w:r>
            <w:r>
              <w:rPr>
                <w:rFonts w:hint="default" w:ascii="Times New Roman" w:hAnsi="Times New Roman" w:eastAsia="仿宋" w:cs="Times New Roman"/>
                <w:color w:val="auto"/>
                <w:sz w:val="21"/>
                <w:szCs w:val="21"/>
              </w:rPr>
              <w:t>；配备可移动式喷雾水枪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eastAsia="仿宋" w:cs="Times New Roman"/>
                <w:color w:val="auto"/>
                <w:sz w:val="21"/>
                <w:szCs w:val="21"/>
                <w:lang w:val="en-US" w:eastAsia="zh-CN"/>
              </w:rPr>
              <w:t>一套可移动负压吸气装置。</w:t>
            </w:r>
          </w:p>
        </w:tc>
      </w:tr>
    </w:tbl>
    <w:p>
      <w:pPr>
        <w:sectPr>
          <w:footerReference r:id="rId11" w:type="default"/>
          <w:pgSz w:w="11906" w:h="16839"/>
          <w:pgMar w:top="1118" w:right="576" w:bottom="522" w:left="1414" w:header="0" w:footer="308" w:gutter="0"/>
          <w:pgNumType w:fmt="decimal"/>
          <w:cols w:space="720" w:num="1"/>
        </w:sectPr>
      </w:pPr>
    </w:p>
    <w:p>
      <w:pPr>
        <w:spacing w:before="326" w:line="225" w:lineRule="auto"/>
        <w:outlineLvl w:val="0"/>
        <w:rPr>
          <w:rFonts w:ascii="宋体" w:hAnsi="宋体" w:eastAsia="宋体" w:cs="宋体"/>
          <w:sz w:val="31"/>
          <w:szCs w:val="31"/>
        </w:rPr>
      </w:pPr>
      <w:bookmarkStart w:id="27" w:name="_Toc17769"/>
      <w:bookmarkStart w:id="28" w:name="_Toc13131"/>
      <w:r>
        <w:rPr>
          <w:rFonts w:ascii="宋体" w:hAnsi="宋体" w:eastAsia="宋体" w:cs="宋体"/>
          <w:spacing w:val="10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0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重点监测单元识别与分类</w:t>
      </w:r>
      <w:bookmarkEnd w:id="27"/>
      <w:bookmarkEnd w:id="28"/>
    </w:p>
    <w:p>
      <w:pPr>
        <w:pStyle w:val="3"/>
        <w:spacing w:line="461" w:lineRule="auto"/>
      </w:pPr>
    </w:p>
    <w:p>
      <w:pPr>
        <w:spacing w:before="91" w:line="221" w:lineRule="auto"/>
        <w:ind w:left="17"/>
        <w:outlineLvl w:val="1"/>
        <w:rPr>
          <w:rFonts w:ascii="宋体" w:hAnsi="宋体" w:eastAsia="宋体" w:cs="宋体"/>
          <w:sz w:val="28"/>
          <w:szCs w:val="28"/>
        </w:rPr>
      </w:pPr>
      <w:bookmarkStart w:id="29" w:name="_Toc11715"/>
      <w:bookmarkStart w:id="30" w:name="_Toc7760"/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5.1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重点单元情况</w:t>
      </w:r>
      <w:bookmarkEnd w:id="29"/>
      <w:bookmarkEnd w:id="30"/>
    </w:p>
    <w:p>
      <w:pPr>
        <w:spacing w:before="291" w:line="411" w:lineRule="auto"/>
        <w:ind w:left="13" w:right="877" w:firstLine="54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在有毒有害物质识别的基础上，检查是否结合《指南》，针对厂区内所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有场所和设施设备，逐一识别是否涉及有毒有害物质，确定重点场所和重点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设施设备清单，并提供场所和设施设备的规格、类型等基础信息。主要排查</w:t>
      </w:r>
    </w:p>
    <w:p>
      <w:pPr>
        <w:spacing w:before="1" w:line="219" w:lineRule="auto"/>
        <w:ind w:left="1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是否存在重点场所和重 点设施设备识别不准确、有遗</w:t>
      </w:r>
      <w:r>
        <w:rPr>
          <w:rFonts w:ascii="宋体" w:hAnsi="宋体" w:eastAsia="宋体" w:cs="宋体"/>
          <w:spacing w:val="-5"/>
          <w:sz w:val="28"/>
          <w:szCs w:val="28"/>
        </w:rPr>
        <w:t>漏等典型问题。</w:t>
      </w:r>
    </w:p>
    <w:p>
      <w:pPr>
        <w:spacing w:before="291" w:line="411" w:lineRule="auto"/>
        <w:ind w:left="13" w:right="877" w:firstLine="549"/>
        <w:rPr>
          <w:rFonts w:ascii="宋体" w:hAnsi="宋体" w:eastAsia="宋体" w:cs="宋体"/>
          <w:spacing w:val="-7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隐患排查报告中重点场所和重点设施设备识别为：</w:t>
      </w:r>
    </w:p>
    <w:p>
      <w:pPr>
        <w:spacing w:before="291" w:line="411" w:lineRule="auto"/>
        <w:ind w:left="13" w:right="877" w:firstLine="549"/>
        <w:outlineLvl w:val="2"/>
        <w:rPr>
          <w:rFonts w:ascii="宋体" w:hAnsi="宋体" w:eastAsia="宋体" w:cs="宋体"/>
          <w:spacing w:val="-7"/>
          <w:sz w:val="28"/>
          <w:szCs w:val="28"/>
        </w:rPr>
      </w:pPr>
      <w:bookmarkStart w:id="31" w:name="_Toc15682"/>
      <w:r>
        <w:rPr>
          <w:rFonts w:ascii="宋体" w:hAnsi="宋体" w:eastAsia="宋体" w:cs="宋体"/>
          <w:spacing w:val="-7"/>
          <w:sz w:val="28"/>
          <w:szCs w:val="28"/>
        </w:rPr>
        <w:t>（1）液体储存区：化学品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原料</w:t>
      </w:r>
      <w:r>
        <w:rPr>
          <w:rFonts w:ascii="宋体" w:hAnsi="宋体" w:eastAsia="宋体" w:cs="宋体"/>
          <w:spacing w:val="-7"/>
          <w:sz w:val="28"/>
          <w:szCs w:val="28"/>
        </w:rPr>
        <w:t>储罐等；</w:t>
      </w:r>
      <w:bookmarkEnd w:id="31"/>
    </w:p>
    <w:p>
      <w:pPr>
        <w:spacing w:before="291" w:line="411" w:lineRule="auto"/>
        <w:ind w:left="13" w:right="877" w:firstLine="549"/>
        <w:rPr>
          <w:rFonts w:ascii="宋体" w:hAnsi="宋体" w:eastAsia="宋体" w:cs="宋体"/>
          <w:spacing w:val="-7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（2）散状液体转运与厂内运输区：管道输送（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硫酸、硝酸、一甲胺溶液（40%）</w:t>
      </w:r>
      <w:r>
        <w:rPr>
          <w:rFonts w:ascii="宋体" w:hAnsi="宋体" w:eastAsia="宋体" w:cs="宋体"/>
          <w:spacing w:val="-7"/>
          <w:sz w:val="28"/>
          <w:szCs w:val="28"/>
        </w:rPr>
        <w:t>）、桶装（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冰醋酸</w:t>
      </w:r>
      <w:r>
        <w:rPr>
          <w:rFonts w:ascii="宋体" w:hAnsi="宋体" w:eastAsia="宋体" w:cs="宋体"/>
          <w:spacing w:val="-7"/>
          <w:sz w:val="28"/>
          <w:szCs w:val="28"/>
        </w:rPr>
        <w:t>）、袋装（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邻苯二甲酸、间苯二甲酸</w:t>
      </w:r>
      <w:r>
        <w:rPr>
          <w:rFonts w:ascii="宋体" w:hAnsi="宋体" w:eastAsia="宋体" w:cs="宋体"/>
          <w:spacing w:val="-7"/>
          <w:sz w:val="28"/>
          <w:szCs w:val="28"/>
        </w:rPr>
        <w:t>）等；</w:t>
      </w:r>
    </w:p>
    <w:p>
      <w:pPr>
        <w:spacing w:before="291" w:line="411" w:lineRule="auto"/>
        <w:ind w:left="13" w:right="877" w:firstLine="549"/>
        <w:rPr>
          <w:rFonts w:ascii="宋体" w:hAnsi="宋体" w:eastAsia="宋体" w:cs="宋体"/>
          <w:spacing w:val="-7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（3）货物的储存和运输区：化学品运输、桶装料转运过程、运输管道、运输泵等；</w:t>
      </w:r>
    </w:p>
    <w:p>
      <w:pPr>
        <w:spacing w:before="290" w:line="220" w:lineRule="auto"/>
        <w:ind w:left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</w:t>
      </w:r>
      <w:r>
        <w:rPr>
          <w:rFonts w:ascii="Calibri" w:hAnsi="Calibri" w:eastAsia="Calibri" w:cs="Calibri"/>
          <w:spacing w:val="-5"/>
          <w:sz w:val="28"/>
          <w:szCs w:val="28"/>
        </w:rPr>
        <w:t>4</w:t>
      </w:r>
      <w:r>
        <w:rPr>
          <w:rFonts w:ascii="宋体" w:hAnsi="宋体" w:eastAsia="宋体" w:cs="宋体"/>
          <w:spacing w:val="-5"/>
          <w:sz w:val="28"/>
          <w:szCs w:val="28"/>
        </w:rPr>
        <w:t>）生产区：反应釜、危险废物产生区、废水生产区等；</w:t>
      </w:r>
    </w:p>
    <w:p>
      <w:pPr>
        <w:spacing w:before="290" w:line="220" w:lineRule="auto"/>
        <w:ind w:left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</w:t>
      </w:r>
      <w:r>
        <w:rPr>
          <w:rFonts w:ascii="Calibri" w:hAnsi="Calibri" w:eastAsia="Calibri" w:cs="Calibri"/>
          <w:spacing w:val="-5"/>
          <w:sz w:val="28"/>
          <w:szCs w:val="28"/>
        </w:rPr>
        <w:t>5</w:t>
      </w:r>
      <w:r>
        <w:rPr>
          <w:rFonts w:ascii="宋体" w:hAnsi="宋体" w:eastAsia="宋体" w:cs="宋体"/>
          <w:spacing w:val="-5"/>
          <w:sz w:val="28"/>
          <w:szCs w:val="28"/>
        </w:rPr>
        <w:t>）其他活动区：废水处理站、污水收集池等。</w:t>
      </w:r>
    </w:p>
    <w:p>
      <w:pPr>
        <w:spacing w:before="291" w:line="624" w:lineRule="exact"/>
        <w:ind w:left="5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综上所述，重点场所和重点设施设备基本上按照《指南》中表</w:t>
      </w:r>
      <w:r>
        <w:rPr>
          <w:rFonts w:ascii="宋体" w:hAnsi="宋体" w:eastAsia="宋体" w:cs="宋体"/>
          <w:spacing w:val="-55"/>
          <w:position w:val="26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5"/>
          <w:position w:val="26"/>
          <w:sz w:val="28"/>
          <w:szCs w:val="28"/>
        </w:rPr>
        <w:t>2</w:t>
      </w:r>
      <w:r>
        <w:rPr>
          <w:rFonts w:ascii="Calibri" w:hAnsi="Calibri" w:eastAsia="Calibri" w:cs="Calibri"/>
          <w:spacing w:val="16"/>
          <w:w w:val="101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识别，</w:t>
      </w:r>
    </w:p>
    <w:p>
      <w:pPr>
        <w:spacing w:before="188" w:line="411" w:lineRule="auto"/>
        <w:ind w:right="11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但是还缺少液体储存区：地下储罐、废水暂存池</w:t>
      </w:r>
      <w:r>
        <w:rPr>
          <w:rFonts w:ascii="宋体" w:hAnsi="宋体" w:eastAsia="宋体" w:cs="宋体"/>
          <w:spacing w:val="-7"/>
          <w:sz w:val="28"/>
          <w:szCs w:val="28"/>
        </w:rPr>
        <w:t>、污水暂存池、初级雨水收集池；散装液体转运与厂内运输：导淋；货物的储存和传输：散装货物的开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放式装卸等；其他活动区缺少：废应急收集设施、车间操作活动、分析化验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室、一般固体废物储存厂、危废暂存间等，需要根据重新识别的有毒有害物</w:t>
      </w:r>
    </w:p>
    <w:p>
      <w:pPr>
        <w:spacing w:before="1" w:line="220" w:lineRule="auto"/>
        <w:ind w:left="8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质清单，未识别相应的重点场所重点设施设备。</w:t>
      </w:r>
    </w:p>
    <w:p>
      <w:pPr>
        <w:spacing w:before="330" w:line="220" w:lineRule="auto"/>
        <w:ind w:left="89"/>
        <w:outlineLvl w:val="1"/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330" w:line="220" w:lineRule="auto"/>
        <w:ind w:left="89"/>
        <w:outlineLvl w:val="1"/>
        <w:rPr>
          <w:rFonts w:ascii="宋体" w:hAnsi="宋体" w:eastAsia="宋体" w:cs="宋体"/>
          <w:sz w:val="28"/>
          <w:szCs w:val="28"/>
        </w:rPr>
      </w:pPr>
      <w:bookmarkStart w:id="32" w:name="_Toc8658"/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5.2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识别/分类结果及原因</w:t>
      </w:r>
      <w:bookmarkEnd w:id="32"/>
    </w:p>
    <w:p>
      <w:pPr>
        <w:spacing w:line="117" w:lineRule="exact"/>
      </w:pPr>
    </w:p>
    <w:tbl>
      <w:tblPr>
        <w:tblStyle w:val="11"/>
        <w:tblW w:w="92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5"/>
        <w:gridCol w:w="2815"/>
        <w:gridCol w:w="1457"/>
        <w:gridCol w:w="16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4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260" w:line="411" w:lineRule="auto"/>
              <w:ind w:left="1218" w:hanging="1185"/>
              <w:jc w:val="both"/>
              <w:rPr>
                <w:sz w:val="28"/>
                <w:szCs w:val="28"/>
              </w:rPr>
            </w:pPr>
            <w:r>
              <w:rPr>
                <w:spacing w:val="17"/>
                <w:sz w:val="28"/>
                <w:szCs w:val="28"/>
              </w:rPr>
              <w:t>单元内需要监测的重点场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11"/>
                <w:sz w:val="28"/>
                <w:szCs w:val="28"/>
              </w:rPr>
              <w:t>所/</w:t>
            </w:r>
            <w:r>
              <w:rPr>
                <w:spacing w:val="-80"/>
                <w:sz w:val="28"/>
                <w:szCs w:val="28"/>
              </w:rPr>
              <w:t xml:space="preserve"> </w:t>
            </w:r>
            <w:r>
              <w:rPr>
                <w:spacing w:val="11"/>
                <w:sz w:val="28"/>
                <w:szCs w:val="28"/>
              </w:rPr>
              <w:t>设施/</w:t>
            </w:r>
            <w:r>
              <w:rPr>
                <w:spacing w:val="64"/>
                <w:sz w:val="28"/>
                <w:szCs w:val="28"/>
              </w:rPr>
              <w:t xml:space="preserve"> </w:t>
            </w:r>
            <w:r>
              <w:rPr>
                <w:spacing w:val="11"/>
                <w:sz w:val="28"/>
                <w:szCs w:val="28"/>
              </w:rPr>
              <w:t>设</w:t>
            </w:r>
            <w:r>
              <w:rPr>
                <w:spacing w:val="-78"/>
                <w:sz w:val="28"/>
                <w:szCs w:val="28"/>
              </w:rPr>
              <w:t xml:space="preserve"> </w:t>
            </w:r>
            <w:r>
              <w:rPr>
                <w:spacing w:val="11"/>
                <w:sz w:val="28"/>
                <w:szCs w:val="28"/>
              </w:rPr>
              <w:t>备</w:t>
            </w:r>
          </w:p>
          <w:p>
            <w:pPr>
              <w:pStyle w:val="12"/>
              <w:spacing w:line="222" w:lineRule="auto"/>
              <w:ind w:left="1221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名称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262" w:line="411" w:lineRule="auto"/>
              <w:ind w:left="367" w:right="137" w:hanging="2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功能(即该重点场所/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24"/>
                <w:sz w:val="28"/>
                <w:szCs w:val="28"/>
              </w:rPr>
              <w:t>设施/设备涉及的</w:t>
            </w:r>
          </w:p>
          <w:p>
            <w:pPr>
              <w:pStyle w:val="12"/>
              <w:spacing w:before="1" w:line="219" w:lineRule="auto"/>
              <w:ind w:left="366"/>
              <w:rPr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生产活动)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260" w:line="411" w:lineRule="auto"/>
              <w:ind w:left="426" w:right="162" w:hanging="231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是</w:t>
            </w:r>
            <w:r>
              <w:rPr>
                <w:spacing w:val="12"/>
                <w:sz w:val="28"/>
                <w:szCs w:val="28"/>
              </w:rPr>
              <w:t xml:space="preserve"> </w:t>
            </w:r>
            <w:r>
              <w:rPr>
                <w:spacing w:val="-16"/>
                <w:sz w:val="28"/>
                <w:szCs w:val="28"/>
              </w:rPr>
              <w:t>否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-16"/>
                <w:sz w:val="28"/>
                <w:szCs w:val="28"/>
              </w:rPr>
              <w:t>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5"/>
                <w:sz w:val="28"/>
                <w:szCs w:val="28"/>
              </w:rPr>
              <w:t>隐蔽性</w:t>
            </w:r>
          </w:p>
          <w:p>
            <w:pPr>
              <w:pStyle w:val="12"/>
              <w:spacing w:line="221" w:lineRule="auto"/>
              <w:ind w:left="41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设施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240" w:line="411" w:lineRule="auto"/>
              <w:ind w:left="65" w:right="167" w:hanging="47"/>
              <w:jc w:val="both"/>
              <w:rPr>
                <w:sz w:val="28"/>
                <w:szCs w:val="28"/>
              </w:rPr>
            </w:pPr>
            <w:r>
              <w:rPr>
                <w:spacing w:val="-12"/>
                <w:sz w:val="28"/>
                <w:szCs w:val="28"/>
              </w:rPr>
              <w:t>单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pacing w:val="-12"/>
                <w:sz w:val="28"/>
                <w:szCs w:val="28"/>
              </w:rPr>
              <w:t>元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pacing w:val="-12"/>
                <w:sz w:val="28"/>
                <w:szCs w:val="28"/>
              </w:rPr>
              <w:t>类</w:t>
            </w:r>
            <w:r>
              <w:rPr>
                <w:spacing w:val="-18"/>
                <w:sz w:val="28"/>
                <w:szCs w:val="28"/>
              </w:rPr>
              <w:t xml:space="preserve"> </w:t>
            </w:r>
            <w:r>
              <w:rPr>
                <w:spacing w:val="-12"/>
                <w:sz w:val="28"/>
                <w:szCs w:val="28"/>
              </w:rPr>
              <w:t>别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2"/>
                <w:sz w:val="28"/>
                <w:szCs w:val="28"/>
              </w:rPr>
              <w:t>(</w:t>
            </w:r>
            <w:r>
              <w:rPr>
                <w:spacing w:val="-46"/>
                <w:sz w:val="28"/>
                <w:szCs w:val="28"/>
              </w:rPr>
              <w:t xml:space="preserve"> </w:t>
            </w:r>
            <w:r>
              <w:rPr>
                <w:spacing w:val="-22"/>
                <w:sz w:val="28"/>
                <w:szCs w:val="28"/>
              </w:rPr>
              <w:t>一</w:t>
            </w:r>
            <w:r>
              <w:rPr>
                <w:spacing w:val="-46"/>
                <w:sz w:val="28"/>
                <w:szCs w:val="28"/>
              </w:rPr>
              <w:t xml:space="preserve"> </w:t>
            </w:r>
            <w:r>
              <w:rPr>
                <w:spacing w:val="-22"/>
                <w:sz w:val="28"/>
                <w:szCs w:val="28"/>
              </w:rPr>
              <w:t>类</w:t>
            </w:r>
            <w:r>
              <w:rPr>
                <w:spacing w:val="-48"/>
                <w:sz w:val="28"/>
                <w:szCs w:val="28"/>
              </w:rPr>
              <w:t xml:space="preserve"> </w:t>
            </w:r>
            <w:r>
              <w:rPr>
                <w:spacing w:val="-22"/>
                <w:sz w:val="28"/>
                <w:szCs w:val="28"/>
              </w:rPr>
              <w:t>/</w:t>
            </w:r>
            <w:r>
              <w:rPr>
                <w:spacing w:val="-47"/>
                <w:sz w:val="28"/>
                <w:szCs w:val="28"/>
              </w:rPr>
              <w:t xml:space="preserve"> </w:t>
            </w:r>
            <w:r>
              <w:rPr>
                <w:spacing w:val="-22"/>
                <w:sz w:val="28"/>
                <w:szCs w:val="28"/>
              </w:rPr>
              <w:t>二</w:t>
            </w:r>
          </w:p>
          <w:p>
            <w:pPr>
              <w:pStyle w:val="12"/>
              <w:spacing w:before="1" w:line="219" w:lineRule="auto"/>
              <w:ind w:left="15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类)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305" w:line="220" w:lineRule="auto"/>
              <w:ind w:left="12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危废库房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305" w:line="220" w:lineRule="auto"/>
              <w:ind w:left="979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危废储存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305" w:line="221" w:lineRule="auto"/>
              <w:ind w:left="6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否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305" w:line="220" w:lineRule="auto"/>
              <w:ind w:left="60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二类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299" w:line="220" w:lineRule="auto"/>
              <w:ind w:left="1223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生产车间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299" w:line="220" w:lineRule="auto"/>
              <w:ind w:left="8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化学品生产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298" w:line="221" w:lineRule="auto"/>
              <w:ind w:left="6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否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299" w:line="220" w:lineRule="auto"/>
              <w:ind w:left="60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二类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312" w:line="220" w:lineRule="auto"/>
              <w:ind w:left="1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污水处理站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312" w:line="220" w:lineRule="auto"/>
              <w:ind w:left="978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污水处理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312" w:line="221" w:lineRule="auto"/>
              <w:ind w:left="6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否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312" w:line="220" w:lineRule="auto"/>
              <w:ind w:left="60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二类</w:t>
            </w:r>
          </w:p>
        </w:tc>
      </w:tr>
    </w:tbl>
    <w:p>
      <w:pPr>
        <w:spacing w:before="211" w:line="221" w:lineRule="auto"/>
        <w:ind w:left="89"/>
        <w:outlineLvl w:val="1"/>
        <w:rPr>
          <w:rFonts w:ascii="宋体" w:hAnsi="宋体" w:eastAsia="宋体" w:cs="宋体"/>
          <w:sz w:val="28"/>
          <w:szCs w:val="28"/>
        </w:rPr>
      </w:pPr>
      <w:bookmarkStart w:id="33" w:name="_Toc23182"/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5.3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关注污染物</w:t>
      </w:r>
      <w:bookmarkEnd w:id="33"/>
    </w:p>
    <w:p>
      <w:pPr>
        <w:spacing w:line="118" w:lineRule="exact"/>
      </w:pPr>
    </w:p>
    <w:tbl>
      <w:tblPr>
        <w:tblStyle w:val="11"/>
        <w:tblW w:w="9203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895"/>
        <w:gridCol w:w="38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435" w:type="dxa"/>
            <w:vAlign w:val="top"/>
          </w:tcPr>
          <w:p>
            <w:pPr>
              <w:pStyle w:val="12"/>
              <w:spacing w:before="298" w:line="221" w:lineRule="auto"/>
              <w:ind w:left="817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  <w14:textOutline w14:w="510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点位名称</w:t>
            </w:r>
          </w:p>
        </w:tc>
        <w:tc>
          <w:tcPr>
            <w:tcW w:w="2895" w:type="dxa"/>
            <w:vAlign w:val="top"/>
          </w:tcPr>
          <w:p>
            <w:pPr>
              <w:pStyle w:val="12"/>
              <w:spacing w:before="295" w:line="220" w:lineRule="auto"/>
              <w:ind w:left="103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  <w14:textOutline w14:w="510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单元类别</w:t>
            </w:r>
          </w:p>
        </w:tc>
        <w:tc>
          <w:tcPr>
            <w:tcW w:w="3873" w:type="dxa"/>
            <w:vAlign w:val="top"/>
          </w:tcPr>
          <w:p>
            <w:pPr>
              <w:pStyle w:val="12"/>
              <w:spacing w:before="295" w:line="220" w:lineRule="auto"/>
              <w:ind w:left="1523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  <w14:textOutline w14:w="5103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检测项目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2435" w:type="dxa"/>
            <w:vAlign w:val="top"/>
          </w:tcPr>
          <w:p>
            <w:pPr>
              <w:pStyle w:val="12"/>
              <w:spacing w:before="305" w:line="220" w:lineRule="auto"/>
              <w:ind w:left="8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危废库房</w:t>
            </w:r>
          </w:p>
        </w:tc>
        <w:tc>
          <w:tcPr>
            <w:tcW w:w="2895" w:type="dxa"/>
            <w:vAlign w:val="top"/>
          </w:tcPr>
          <w:p>
            <w:pPr>
              <w:pStyle w:val="12"/>
              <w:spacing w:before="305" w:line="220" w:lineRule="auto"/>
              <w:ind w:left="125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二类</w:t>
            </w:r>
          </w:p>
        </w:tc>
        <w:tc>
          <w:tcPr>
            <w:tcW w:w="3873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174" w:line="411" w:lineRule="auto"/>
              <w:ind w:right="12"/>
              <w:jc w:val="both"/>
              <w:rPr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7"/>
                <w:sz w:val="28"/>
                <w:szCs w:val="28"/>
              </w:rPr>
              <w:t>p</w:t>
            </w:r>
            <w:r>
              <w:rPr>
                <w:rFonts w:ascii="Calibri" w:hAnsi="Calibri" w:eastAsia="Calibri" w:cs="Calibri"/>
                <w:spacing w:val="-8"/>
                <w:sz w:val="28"/>
                <w:szCs w:val="28"/>
              </w:rPr>
              <w:t>H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总汞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总镉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总铬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总砷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总铅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总镍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总铜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总锌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1，2-二氯苯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硝基苯类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苯胺类</w:t>
            </w:r>
            <w:r>
              <w:rPr>
                <w:rFonts w:hint="eastAsia"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氯苯类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2435" w:type="dxa"/>
            <w:vAlign w:val="top"/>
          </w:tcPr>
          <w:p>
            <w:pPr>
              <w:pStyle w:val="12"/>
              <w:spacing w:before="307" w:line="220" w:lineRule="auto"/>
              <w:ind w:left="800"/>
              <w:rPr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生产车间</w:t>
            </w:r>
          </w:p>
        </w:tc>
        <w:tc>
          <w:tcPr>
            <w:tcW w:w="2895" w:type="dxa"/>
            <w:vAlign w:val="top"/>
          </w:tcPr>
          <w:p>
            <w:pPr>
              <w:pStyle w:val="12"/>
              <w:spacing w:before="307" w:line="220" w:lineRule="auto"/>
              <w:ind w:left="125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二类</w:t>
            </w:r>
          </w:p>
        </w:tc>
        <w:tc>
          <w:tcPr>
            <w:tcW w:w="387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435" w:type="dxa"/>
            <w:vAlign w:val="top"/>
          </w:tcPr>
          <w:p>
            <w:pPr>
              <w:pStyle w:val="12"/>
              <w:spacing w:before="301" w:line="220" w:lineRule="auto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污水处理站</w:t>
            </w:r>
          </w:p>
        </w:tc>
        <w:tc>
          <w:tcPr>
            <w:tcW w:w="2895" w:type="dxa"/>
            <w:vAlign w:val="top"/>
          </w:tcPr>
          <w:p>
            <w:pPr>
              <w:pStyle w:val="12"/>
              <w:spacing w:before="301" w:line="220" w:lineRule="auto"/>
              <w:ind w:left="125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二类</w:t>
            </w:r>
          </w:p>
        </w:tc>
        <w:tc>
          <w:tcPr>
            <w:tcW w:w="38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74" w:line="411" w:lineRule="auto"/>
        <w:ind w:left="84" w:right="12" w:firstLine="55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根据《工业企业土壤和地下水自行监测技术指南</w:t>
      </w:r>
      <w:r>
        <w:rPr>
          <w:rFonts w:ascii="Calibri" w:hAnsi="Calibri" w:eastAsia="Calibri" w:cs="Calibri"/>
          <w:spacing w:val="-4"/>
          <w:sz w:val="28"/>
          <w:szCs w:val="28"/>
        </w:rPr>
        <w:t>(</w:t>
      </w:r>
      <w:r>
        <w:rPr>
          <w:rFonts w:ascii="宋体" w:hAnsi="宋体" w:eastAsia="宋体" w:cs="宋体"/>
          <w:spacing w:val="-4"/>
          <w:sz w:val="28"/>
          <w:szCs w:val="28"/>
        </w:rPr>
        <w:t>试行</w:t>
      </w:r>
      <w:r>
        <w:rPr>
          <w:rFonts w:ascii="Calibri" w:hAnsi="Calibri" w:eastAsia="Calibri" w:cs="Calibri"/>
          <w:spacing w:val="-4"/>
          <w:sz w:val="28"/>
          <w:szCs w:val="28"/>
        </w:rPr>
        <w:t>)</w:t>
      </w:r>
      <w:r>
        <w:rPr>
          <w:rFonts w:ascii="宋体" w:hAnsi="宋体" w:eastAsia="宋体" w:cs="宋体"/>
          <w:spacing w:val="-4"/>
          <w:sz w:val="28"/>
          <w:szCs w:val="28"/>
        </w:rPr>
        <w:t>》</w:t>
      </w:r>
      <w:r>
        <w:rPr>
          <w:rFonts w:ascii="Calibri" w:hAnsi="Calibri" w:eastAsia="Calibri" w:cs="Calibri"/>
          <w:spacing w:val="-4"/>
          <w:sz w:val="28"/>
          <w:szCs w:val="28"/>
        </w:rPr>
        <w:t>(HJ</w:t>
      </w:r>
      <w:r>
        <w:rPr>
          <w:rFonts w:ascii="Calibri" w:hAnsi="Calibri" w:eastAsia="Calibri" w:cs="Calibri"/>
          <w:spacing w:val="19"/>
          <w:w w:val="101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4"/>
          <w:sz w:val="28"/>
          <w:szCs w:val="28"/>
        </w:rPr>
        <w:t xml:space="preserve">1209-2021)  </w:t>
      </w:r>
      <w:r>
        <w:rPr>
          <w:rFonts w:ascii="宋体" w:hAnsi="宋体" w:eastAsia="宋体" w:cs="宋体"/>
          <w:spacing w:val="-7"/>
          <w:sz w:val="28"/>
          <w:szCs w:val="28"/>
        </w:rPr>
        <w:t>中相关要求，结合甘肃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盛诺医药科技</w:t>
      </w:r>
      <w:r>
        <w:rPr>
          <w:rFonts w:ascii="宋体" w:hAnsi="宋体" w:eastAsia="宋体" w:cs="宋体"/>
          <w:spacing w:val="-7"/>
          <w:sz w:val="28"/>
          <w:szCs w:val="28"/>
        </w:rPr>
        <w:t>有限公司土壤监测历史数据、甘肃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盛诺医药科技</w:t>
      </w:r>
      <w:r>
        <w:rPr>
          <w:rFonts w:ascii="宋体" w:hAnsi="宋体" w:eastAsia="宋体" w:cs="宋体"/>
          <w:spacing w:val="-7"/>
          <w:sz w:val="28"/>
          <w:szCs w:val="28"/>
        </w:rPr>
        <w:t>有限公司排污许可证自行监测方要求，确定监测项目为</w:t>
      </w:r>
      <w:r>
        <w:rPr>
          <w:rFonts w:hint="eastAsia" w:ascii="宋体" w:hAnsi="宋体" w:eastAsia="宋体" w:cs="宋体"/>
          <w:spacing w:val="-7"/>
          <w:sz w:val="28"/>
          <w:szCs w:val="28"/>
        </w:rPr>
        <w:t>pH值、总汞、总镉、总铬、总砷、总铅、总镍、总铜、总锌、1，2-二氯苯、硝基苯类、苯胺类、氯苯类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，共计 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13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 项。</w:t>
      </w:r>
    </w:p>
    <w:p>
      <w:pPr>
        <w:spacing w:before="312" w:line="224" w:lineRule="auto"/>
        <w:outlineLvl w:val="0"/>
        <w:rPr>
          <w:rFonts w:ascii="宋体" w:hAnsi="宋体" w:eastAsia="宋体" w:cs="宋体"/>
          <w:sz w:val="31"/>
          <w:szCs w:val="31"/>
        </w:rPr>
      </w:pPr>
      <w:bookmarkStart w:id="34" w:name="_Toc29638"/>
      <w:r>
        <w:rPr>
          <w:rFonts w:ascii="宋体" w:hAnsi="宋体" w:eastAsia="宋体" w:cs="宋体"/>
          <w:spacing w:val="8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6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监测点位布设方案</w:t>
      </w:r>
      <w:bookmarkEnd w:id="34"/>
    </w:p>
    <w:p>
      <w:pPr>
        <w:spacing w:before="266" w:line="219" w:lineRule="auto"/>
        <w:ind w:left="13"/>
        <w:outlineLvl w:val="1"/>
        <w:rPr>
          <w:rFonts w:ascii="宋体" w:hAnsi="宋体" w:eastAsia="宋体" w:cs="宋体"/>
          <w:sz w:val="28"/>
          <w:szCs w:val="28"/>
        </w:rPr>
      </w:pPr>
      <w:bookmarkStart w:id="35" w:name="_Toc30284"/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6.1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重点单元及相应监测点的布设位置</w:t>
      </w:r>
      <w:bookmarkEnd w:id="35"/>
    </w:p>
    <w:p>
      <w:pPr>
        <w:spacing w:before="295" w:line="411" w:lineRule="auto"/>
        <w:ind w:left="13" w:right="95"/>
      </w:pPr>
      <w:r>
        <w:rPr>
          <w:rFonts w:ascii="宋体" w:hAnsi="宋体" w:eastAsia="宋体" w:cs="宋体"/>
          <w:spacing w:val="-6"/>
          <w:sz w:val="28"/>
          <w:szCs w:val="28"/>
        </w:rPr>
        <w:t>6.1.1 本次监测范围以甘肃省国土资源厅颁发的有效勘查许可证为准</w:t>
      </w:r>
      <w:r>
        <w:rPr>
          <w:rFonts w:ascii="宋体" w:hAnsi="宋体" w:eastAsia="宋体" w:cs="宋体"/>
          <w:spacing w:val="-7"/>
          <w:sz w:val="28"/>
          <w:szCs w:val="28"/>
        </w:rPr>
        <w:t>，根据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>现场踏勘及相关规范，土壤监测点位布设依据《土壤环境监测技术规范》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（HJ/T 166-2004）和《工矿用地土壤环境管理办法（试行）》要求，该项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目分别在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1"/>
          <w:sz w:val="28"/>
          <w:szCs w:val="28"/>
        </w:rPr>
        <w:t>1#</w:t>
      </w:r>
      <w:r>
        <w:rPr>
          <w:rFonts w:ascii="宋体" w:hAnsi="宋体" w:eastAsia="宋体" w:cs="宋体"/>
          <w:spacing w:val="-1"/>
          <w:sz w:val="28"/>
          <w:szCs w:val="28"/>
        </w:rPr>
        <w:t>车间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北</w:t>
      </w:r>
      <w:r>
        <w:rPr>
          <w:rFonts w:ascii="宋体" w:hAnsi="宋体" w:eastAsia="宋体" w:cs="宋体"/>
          <w:spacing w:val="-1"/>
          <w:sz w:val="28"/>
          <w:szCs w:val="28"/>
        </w:rPr>
        <w:t>侧、</w:t>
      </w:r>
      <w:r>
        <w:rPr>
          <w:rFonts w:hint="eastAsia" w:ascii="Calibri" w:hAnsi="Calibri" w:eastAsia="宋体" w:cs="Calibri"/>
          <w:spacing w:val="-1"/>
          <w:sz w:val="28"/>
          <w:szCs w:val="28"/>
          <w:lang w:val="en-US" w:eastAsia="zh-CN"/>
        </w:rPr>
        <w:t>4</w:t>
      </w:r>
      <w:r>
        <w:rPr>
          <w:rFonts w:ascii="Calibri" w:hAnsi="Calibri" w:eastAsia="Calibri" w:cs="Calibri"/>
          <w:spacing w:val="-1"/>
          <w:sz w:val="28"/>
          <w:szCs w:val="28"/>
        </w:rPr>
        <w:t>#</w:t>
      </w:r>
      <w:r>
        <w:rPr>
          <w:rFonts w:ascii="宋体" w:hAnsi="宋体" w:eastAsia="宋体" w:cs="宋体"/>
          <w:spacing w:val="-1"/>
          <w:sz w:val="28"/>
          <w:szCs w:val="28"/>
        </w:rPr>
        <w:t>车间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东</w:t>
      </w:r>
      <w:r>
        <w:rPr>
          <w:rFonts w:ascii="宋体" w:hAnsi="宋体" w:eastAsia="宋体" w:cs="宋体"/>
          <w:spacing w:val="-1"/>
          <w:sz w:val="28"/>
          <w:szCs w:val="28"/>
        </w:rPr>
        <w:t>侧、废水处理池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东</w:t>
      </w:r>
      <w:r>
        <w:rPr>
          <w:rFonts w:ascii="宋体" w:hAnsi="宋体" w:eastAsia="宋体" w:cs="宋体"/>
          <w:spacing w:val="-1"/>
          <w:sz w:val="28"/>
          <w:szCs w:val="28"/>
        </w:rPr>
        <w:t>侧、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罐区北侧、</w:t>
      </w:r>
      <w:r>
        <w:rPr>
          <w:rFonts w:ascii="宋体" w:hAnsi="宋体" w:eastAsia="宋体" w:cs="宋体"/>
          <w:spacing w:val="-1"/>
          <w:sz w:val="28"/>
          <w:szCs w:val="28"/>
        </w:rPr>
        <w:t>危废库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东</w:t>
      </w:r>
      <w:r>
        <w:rPr>
          <w:rFonts w:ascii="宋体" w:hAnsi="宋体" w:eastAsia="宋体" w:cs="宋体"/>
          <w:spacing w:val="-1"/>
          <w:sz w:val="28"/>
          <w:szCs w:val="28"/>
        </w:rPr>
        <w:t>侧等处布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设</w:t>
      </w:r>
      <w:r>
        <w:rPr>
          <w:rFonts w:ascii="宋体" w:hAnsi="宋体" w:eastAsia="宋体" w:cs="宋体"/>
          <w:spacing w:val="-68"/>
          <w:sz w:val="28"/>
          <w:szCs w:val="28"/>
        </w:rPr>
        <w:t xml:space="preserve"> </w:t>
      </w:r>
      <w:r>
        <w:rPr>
          <w:rFonts w:hint="eastAsia" w:ascii="Calibri" w:hAnsi="Calibri" w:eastAsia="宋体" w:cs="Calibri"/>
          <w:spacing w:val="-8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pacing w:val="-8"/>
          <w:sz w:val="28"/>
          <w:szCs w:val="28"/>
        </w:rPr>
        <w:t>个监测点位，每个点位采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8"/>
          <w:sz w:val="28"/>
          <w:szCs w:val="28"/>
        </w:rPr>
        <w:t>1</w:t>
      </w:r>
      <w:r>
        <w:rPr>
          <w:rFonts w:ascii="Calibri" w:hAnsi="Calibri" w:eastAsia="Calibri" w:cs="Calibri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个样品（采样深度为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8"/>
          <w:sz w:val="28"/>
          <w:szCs w:val="28"/>
        </w:rPr>
        <w:t>0-0.5m</w:t>
      </w:r>
      <w:r>
        <w:rPr>
          <w:rFonts w:ascii="宋体" w:hAnsi="宋体" w:eastAsia="宋体" w:cs="宋体"/>
          <w:spacing w:val="-22"/>
          <w:sz w:val="28"/>
          <w:szCs w:val="28"/>
        </w:rPr>
        <w:t>），</w:t>
      </w:r>
      <w:r>
        <w:rPr>
          <w:rFonts w:ascii="宋体" w:hAnsi="宋体" w:eastAsia="宋体" w:cs="宋体"/>
          <w:spacing w:val="-8"/>
          <w:sz w:val="28"/>
          <w:szCs w:val="28"/>
        </w:rPr>
        <w:t>共计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hint="eastAsia" w:ascii="Calibri" w:hAnsi="Calibri" w:eastAsia="宋体" w:cs="Calibri"/>
          <w:spacing w:val="-8"/>
          <w:sz w:val="28"/>
          <w:szCs w:val="28"/>
          <w:lang w:val="en-US" w:eastAsia="zh-CN"/>
        </w:rPr>
        <w:t>6</w:t>
      </w:r>
      <w:r>
        <w:rPr>
          <w:rFonts w:ascii="Calibri" w:hAnsi="Calibri" w:eastAsia="Calibri" w:cs="Calibri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个样</w:t>
      </w:r>
      <w:r>
        <w:rPr>
          <w:rFonts w:ascii="宋体" w:hAnsi="宋体" w:eastAsia="宋体" w:cs="宋体"/>
          <w:spacing w:val="-10"/>
          <w:sz w:val="28"/>
          <w:szCs w:val="28"/>
        </w:rPr>
        <w:t>品（含平行样品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10"/>
          <w:sz w:val="28"/>
          <w:szCs w:val="28"/>
        </w:rPr>
        <w:t>1</w:t>
      </w:r>
      <w:r>
        <w:rPr>
          <w:rFonts w:ascii="Calibri" w:hAnsi="Calibri" w:eastAsia="Calibri" w:cs="Calibri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0"/>
          <w:sz w:val="28"/>
          <w:szCs w:val="28"/>
        </w:rPr>
        <w:t>个）。土壤监测点分</w:t>
      </w:r>
      <w:r>
        <w:rPr>
          <w:rFonts w:ascii="宋体" w:hAnsi="宋体" w:eastAsia="宋体" w:cs="宋体"/>
          <w:spacing w:val="-11"/>
          <w:sz w:val="28"/>
          <w:szCs w:val="28"/>
        </w:rPr>
        <w:t>布见图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11"/>
          <w:sz w:val="28"/>
          <w:szCs w:val="28"/>
        </w:rPr>
        <w:t>1</w:t>
      </w:r>
      <w:r>
        <w:rPr>
          <w:rFonts w:ascii="宋体" w:hAnsi="宋体" w:eastAsia="宋体" w:cs="宋体"/>
          <w:spacing w:val="-11"/>
          <w:sz w:val="28"/>
          <w:szCs w:val="28"/>
        </w:rPr>
        <w:t>。</w:t>
      </w:r>
    </w:p>
    <w:p>
      <w:pPr>
        <w:pStyle w:val="3"/>
      </w:pPr>
    </w:p>
    <w:p>
      <w:pPr>
        <w:rPr>
          <w:rStyle w:val="9"/>
          <w:rFonts w:hint="eastAsia" w:ascii="Times New Roman" w:hAnsi="Times New Roman" w:cs="Times New Roman"/>
          <w:b/>
        </w:rPr>
      </w:pPr>
      <w:r>
        <w:rPr>
          <w:rStyle w:val="9"/>
          <w:rFonts w:hint="eastAsia" w:ascii="Times New Roman" w:hAnsi="Times New Roman" w:cs="Times New Roman"/>
          <w:b/>
        </w:rPr>
        <w:drawing>
          <wp:inline distT="0" distB="0" distL="114300" distR="114300">
            <wp:extent cx="5070475" cy="3042285"/>
            <wp:effectExtent l="0" t="0" r="15875" b="571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5" w:lineRule="exact"/>
      </w:pPr>
      <w:r>
        <w:rPr>
          <w:rFonts w:ascii="宋体" w:hAnsi="宋体" w:eastAsia="宋体" w:cs="宋体"/>
          <w:spacing w:val="-3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甘肃</w:t>
      </w:r>
      <w:r>
        <w:rPr>
          <w:rFonts w:hint="eastAsia" w:ascii="宋体" w:hAnsi="宋体" w:eastAsia="宋体" w:cs="宋体"/>
          <w:spacing w:val="-3"/>
          <w:sz w:val="24"/>
          <w:szCs w:val="24"/>
          <w:lang w:val="en-US" w:eastAsia="zh-CN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盛诺医药科技</w:t>
      </w:r>
      <w:r>
        <w:rPr>
          <w:rFonts w:ascii="宋体" w:hAnsi="宋体" w:eastAsia="宋体" w:cs="宋体"/>
          <w:spacing w:val="-3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val="0"/>
          </w14:textOutline>
        </w:rPr>
        <w:t>有限公司土壤采样布</w:t>
      </w:r>
    </w:p>
    <w:p>
      <w:pPr>
        <w:spacing w:before="187" w:line="219" w:lineRule="auto"/>
        <w:outlineLvl w:val="1"/>
        <w:rPr>
          <w:rFonts w:ascii="宋体" w:hAnsi="宋体" w:eastAsia="宋体" w:cs="宋体"/>
          <w:sz w:val="28"/>
          <w:szCs w:val="28"/>
        </w:rPr>
      </w:pPr>
      <w:bookmarkStart w:id="36" w:name="_Toc31456"/>
      <w:r>
        <w:rPr>
          <w:rFonts w:ascii="宋体" w:hAnsi="宋体" w:eastAsia="宋体" w:cs="宋体"/>
          <w:spacing w:val="-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6.2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各点位布设原因</w:t>
      </w:r>
      <w:bookmarkEnd w:id="36"/>
    </w:p>
    <w:p>
      <w:pPr>
        <w:spacing w:before="291" w:line="624" w:lineRule="exact"/>
        <w:ind w:right="7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6"/>
          <w:position w:val="26"/>
          <w:sz w:val="28"/>
          <w:szCs w:val="28"/>
        </w:rPr>
        <w:t>根据《工业企业土壤和地下水自行监测技术指南（试行）》(HJ1209-2021)</w:t>
      </w:r>
    </w:p>
    <w:p>
      <w:pPr>
        <w:spacing w:before="1" w:line="219" w:lineRule="auto"/>
        <w:ind w:left="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要求，识别出土壤二类单元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5</w:t>
      </w:r>
      <w:r>
        <w:rPr>
          <w:rFonts w:ascii="宋体" w:hAnsi="宋体" w:eastAsia="宋体" w:cs="宋体"/>
          <w:spacing w:val="-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个。</w:t>
      </w:r>
    </w:p>
    <w:p>
      <w:pPr>
        <w:spacing w:before="289" w:line="221" w:lineRule="auto"/>
        <w:ind w:left="13"/>
        <w:outlineLvl w:val="1"/>
        <w:rPr>
          <w:rFonts w:ascii="宋体" w:hAnsi="宋体" w:eastAsia="宋体" w:cs="宋体"/>
          <w:sz w:val="28"/>
          <w:szCs w:val="28"/>
        </w:rPr>
      </w:pPr>
      <w:bookmarkStart w:id="37" w:name="_Toc9376"/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6.3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各点位监测指标及选取原因</w:t>
      </w:r>
      <w:bookmarkEnd w:id="37"/>
    </w:p>
    <w:p>
      <w:pPr>
        <w:spacing w:before="290" w:line="221" w:lineRule="auto"/>
        <w:ind w:left="13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6.3.1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</w:t>
      </w:r>
    </w:p>
    <w:p>
      <w:pPr>
        <w:spacing w:before="290" w:line="411" w:lineRule="auto"/>
        <w:ind w:left="19" w:right="11" w:firstLine="548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项目所在区域土壤执行《土壤环境质量建设用地土壤污染风险管制标准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（试行）》（GB36600-2018）表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1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中第二类用地风</w:t>
      </w:r>
      <w:r>
        <w:rPr>
          <w:rFonts w:ascii="宋体" w:hAnsi="宋体" w:eastAsia="宋体" w:cs="宋体"/>
          <w:spacing w:val="-8"/>
          <w:sz w:val="28"/>
          <w:szCs w:val="28"/>
        </w:rPr>
        <w:t>险值和管制值要求。按照</w:t>
      </w:r>
    </w:p>
    <w:p>
      <w:pPr>
        <w:spacing w:before="1" w:line="219" w:lineRule="auto"/>
        <w:ind w:lef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上级部门的要求，公司对土壤监测加强管理，45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项全部监测。</w:t>
      </w:r>
    </w:p>
    <w:p>
      <w:pPr>
        <w:pStyle w:val="3"/>
        <w:spacing w:line="343" w:lineRule="auto"/>
      </w:pPr>
    </w:p>
    <w:p>
      <w:pPr>
        <w:spacing w:before="101" w:line="224" w:lineRule="auto"/>
        <w:ind w:left="20"/>
        <w:outlineLvl w:val="0"/>
        <w:rPr>
          <w:rFonts w:ascii="宋体" w:hAnsi="宋体" w:eastAsia="宋体" w:cs="宋体"/>
          <w:sz w:val="31"/>
          <w:szCs w:val="31"/>
        </w:rPr>
      </w:pPr>
      <w:bookmarkStart w:id="38" w:name="_Toc11543"/>
      <w:r>
        <w:rPr>
          <w:rFonts w:ascii="宋体" w:hAnsi="宋体" w:eastAsia="宋体" w:cs="宋体"/>
          <w:spacing w:val="16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7</w:t>
      </w:r>
      <w:r>
        <w:rPr>
          <w:rFonts w:ascii="宋体" w:hAnsi="宋体" w:eastAsia="宋体" w:cs="宋体"/>
          <w:spacing w:val="1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样品采集、保存、流转与制备</w:t>
      </w:r>
      <w:bookmarkEnd w:id="38"/>
    </w:p>
    <w:p>
      <w:pPr>
        <w:spacing w:before="267" w:line="219" w:lineRule="auto"/>
        <w:ind w:left="17"/>
        <w:outlineLvl w:val="1"/>
        <w:rPr>
          <w:rFonts w:ascii="宋体" w:hAnsi="宋体" w:eastAsia="宋体" w:cs="宋体"/>
          <w:sz w:val="28"/>
          <w:szCs w:val="28"/>
        </w:rPr>
      </w:pPr>
      <w:bookmarkStart w:id="39" w:name="_Toc15867"/>
      <w:r>
        <w:rPr>
          <w:rFonts w:ascii="宋体" w:hAnsi="宋体" w:eastAsia="宋体" w:cs="宋体"/>
          <w:spacing w:val="-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7.1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现场采样位置、数量和深度</w:t>
      </w:r>
      <w:bookmarkEnd w:id="39"/>
    </w:p>
    <w:p>
      <w:pPr>
        <w:spacing w:before="292" w:line="221" w:lineRule="auto"/>
        <w:ind w:left="1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7.1.1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</w:t>
      </w:r>
    </w:p>
    <w:p>
      <w:pPr>
        <w:spacing w:before="291" w:line="411" w:lineRule="auto"/>
        <w:ind w:left="9" w:right="10" w:firstLine="55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根据《工业企业土壤和地下水自行监测技术指南(试行)》(HJ1209-2021)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要求，表层样品采样深度为</w:t>
      </w:r>
      <w:r>
        <w:rPr>
          <w:rFonts w:ascii="宋体" w:hAnsi="宋体" w:eastAsia="宋体" w:cs="宋体"/>
          <w:spacing w:val="-6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0-0.5m,深层土壤监测点采</w:t>
      </w:r>
      <w:r>
        <w:rPr>
          <w:rFonts w:ascii="宋体" w:hAnsi="宋体" w:eastAsia="宋体" w:cs="宋体"/>
          <w:spacing w:val="-5"/>
          <w:sz w:val="28"/>
          <w:szCs w:val="28"/>
        </w:rPr>
        <w:t>样深度应略低于其对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应的隐蔽性重点设施设备底部与土壤接触面。一类单元采集表层、深层土壤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样品；二类单元采集表层土壤样品，故甘肃</w:t>
      </w:r>
      <w:r>
        <w:rPr>
          <w:rFonts w:hint="eastAsia" w:ascii="宋体" w:hAnsi="宋体" w:eastAsia="宋体" w:cs="宋体"/>
          <w:spacing w:val="-7"/>
          <w:sz w:val="28"/>
          <w:szCs w:val="28"/>
          <w:lang w:val="en-US" w:eastAsia="zh-CN"/>
        </w:rPr>
        <w:t>盛诺医药科技</w:t>
      </w:r>
      <w:r>
        <w:rPr>
          <w:rFonts w:ascii="宋体" w:hAnsi="宋体" w:eastAsia="宋体" w:cs="宋体"/>
          <w:spacing w:val="-7"/>
          <w:sz w:val="28"/>
          <w:szCs w:val="28"/>
        </w:rPr>
        <w:t>有限公司监测点位均采</w:t>
      </w:r>
      <w:r>
        <w:rPr>
          <w:rFonts w:ascii="宋体" w:hAnsi="宋体" w:eastAsia="宋体" w:cs="宋体"/>
          <w:spacing w:val="-5"/>
          <w:sz w:val="28"/>
          <w:szCs w:val="28"/>
        </w:rPr>
        <w:t>集表层样品。</w:t>
      </w:r>
    </w:p>
    <w:p>
      <w:pPr>
        <w:spacing w:line="525" w:lineRule="exact"/>
      </w:pPr>
    </w:p>
    <w:p>
      <w:pPr>
        <w:spacing w:before="291" w:line="219" w:lineRule="auto"/>
        <w:ind w:left="17"/>
        <w:outlineLvl w:val="1"/>
        <w:rPr>
          <w:rFonts w:ascii="宋体" w:hAnsi="宋体" w:eastAsia="宋体" w:cs="宋体"/>
          <w:sz w:val="28"/>
          <w:szCs w:val="28"/>
        </w:rPr>
      </w:pPr>
      <w:bookmarkStart w:id="40" w:name="_Toc6697"/>
      <w:r>
        <w:rPr>
          <w:rFonts w:ascii="宋体" w:hAnsi="宋体" w:eastAsia="宋体" w:cs="宋体"/>
          <w:spacing w:val="-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7.2</w:t>
      </w:r>
      <w:r>
        <w:rPr>
          <w:rFonts w:ascii="宋体" w:hAnsi="宋体" w:eastAsia="宋体" w:cs="宋体"/>
          <w:spacing w:val="-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采样方法及程序</w:t>
      </w:r>
      <w:bookmarkEnd w:id="40"/>
    </w:p>
    <w:p>
      <w:pPr>
        <w:spacing w:before="292" w:line="221" w:lineRule="auto"/>
        <w:ind w:left="1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7.2.1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</w:t>
      </w:r>
    </w:p>
    <w:p>
      <w:pPr>
        <w:spacing w:before="290" w:line="411" w:lineRule="auto"/>
        <w:ind w:left="17" w:right="163" w:firstLine="54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本次监测所用监测分析方法均为《土壤环境质量建设用地土壤污染风险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管控标准(试行)》</w:t>
      </w:r>
      <w:r>
        <w:rPr>
          <w:rFonts w:ascii="宋体" w:hAnsi="宋体" w:eastAsia="宋体" w:cs="宋体"/>
          <w:spacing w:val="-8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(GB 36600-20</w:t>
      </w:r>
      <w:r>
        <w:rPr>
          <w:rFonts w:ascii="宋体" w:hAnsi="宋体" w:eastAsia="宋体" w:cs="宋体"/>
          <w:spacing w:val="-4"/>
          <w:sz w:val="28"/>
          <w:szCs w:val="28"/>
        </w:rPr>
        <w:t>18)表三中推荐分析方法，具体监测分析方</w:t>
      </w:r>
    </w:p>
    <w:p>
      <w:pPr>
        <w:spacing w:before="1" w:line="219" w:lineRule="auto"/>
        <w:ind w:left="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法见下表。</w:t>
      </w:r>
    </w:p>
    <w:p>
      <w:pPr>
        <w:spacing w:before="290" w:line="221" w:lineRule="auto"/>
        <w:ind w:left="3048"/>
        <w:outlineLvl w:val="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土壤监测分析方法一览表</w:t>
      </w:r>
    </w:p>
    <w:p>
      <w:pPr>
        <w:spacing w:line="184" w:lineRule="exact"/>
      </w:pPr>
    </w:p>
    <w:tbl>
      <w:tblPr>
        <w:tblStyle w:val="11"/>
        <w:tblW w:w="9062" w:type="dxa"/>
        <w:tblInd w:w="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1387"/>
        <w:gridCol w:w="4477"/>
        <w:gridCol w:w="25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195" w:line="222" w:lineRule="auto"/>
              <w:ind w:left="106"/>
              <w:outlineLvl w:val="9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序号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195" w:line="220" w:lineRule="auto"/>
              <w:ind w:left="249"/>
              <w:jc w:val="center"/>
              <w:outlineLvl w:val="9"/>
              <w:rPr>
                <w:sz w:val="22"/>
                <w:szCs w:val="22"/>
              </w:rPr>
            </w:pPr>
            <w:r>
              <w:rPr>
                <w:spacing w:val="13"/>
                <w:sz w:val="22"/>
                <w:szCs w:val="22"/>
              </w:rPr>
              <w:t>检测项目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93" w:line="219" w:lineRule="auto"/>
              <w:ind w:left="1022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检测方法及依据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195" w:line="220" w:lineRule="auto"/>
              <w:ind w:left="359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检测仪器/型号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648" w:type="dxa"/>
            <w:vAlign w:val="top"/>
          </w:tcPr>
          <w:p>
            <w:pPr>
              <w:spacing w:line="263" w:lineRule="auto"/>
              <w:outlineLvl w:val="9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4" w:lineRule="auto"/>
              <w:ind w:left="284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42" w:line="215" w:lineRule="auto"/>
              <w:jc w:val="center"/>
              <w:outlineLvl w:val="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6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值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74"/>
              <w:ind w:left="1236" w:right="409" w:hanging="763"/>
              <w:outlineLvl w:val="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《土壤pH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值的测定电位法》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HJ962-2018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42" w:line="215" w:lineRule="auto"/>
              <w:ind w:left="416"/>
              <w:outlineLvl w:val="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pHS-3E</w:t>
            </w:r>
            <w:r>
              <w:rPr>
                <w:spacing w:val="-4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酸度计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648" w:type="dxa"/>
            <w:vAlign w:val="top"/>
          </w:tcPr>
          <w:p>
            <w:pPr>
              <w:spacing w:line="267" w:lineRule="auto"/>
              <w:outlineLvl w:val="9"/>
              <w:rPr>
                <w:rFonts w:ascii="Arial"/>
                <w:sz w:val="21"/>
              </w:rPr>
            </w:pPr>
          </w:p>
          <w:p>
            <w:pPr>
              <w:pStyle w:val="12"/>
              <w:spacing w:before="72" w:line="184" w:lineRule="auto"/>
              <w:ind w:left="27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50" w:line="222" w:lineRule="auto"/>
              <w:jc w:val="center"/>
              <w:outlineLvl w:val="9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总汞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91" w:line="239" w:lineRule="auto"/>
              <w:ind w:left="35" w:right="8" w:firstLine="508"/>
              <w:outlineLvl w:val="9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87" w:line="239" w:lineRule="auto"/>
              <w:ind w:left="687" w:right="281" w:hanging="373"/>
              <w:outlineLvl w:val="9"/>
              <w:rPr>
                <w:sz w:val="22"/>
                <w:szCs w:val="22"/>
              </w:rPr>
            </w:pPr>
            <w:r>
              <w:rPr>
                <w:spacing w:val="36"/>
                <w:sz w:val="22"/>
                <w:szCs w:val="22"/>
              </w:rPr>
              <w:t>紫外分光光度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计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Cary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648" w:type="dxa"/>
            <w:vAlign w:val="top"/>
          </w:tcPr>
          <w:p>
            <w:pPr>
              <w:spacing w:line="280" w:lineRule="auto"/>
              <w:outlineLvl w:val="9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4" w:lineRule="auto"/>
              <w:ind w:left="272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4" w:line="220" w:lineRule="auto"/>
              <w:jc w:val="center"/>
              <w:outlineLvl w:val="9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总镉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113" w:line="238" w:lineRule="auto"/>
              <w:ind w:left="303" w:right="121" w:firstLine="290"/>
              <w:outlineLvl w:val="9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103" w:line="238" w:lineRule="auto"/>
              <w:ind w:left="722" w:right="197" w:firstLine="48"/>
              <w:outlineLvl w:val="9"/>
              <w:rPr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</w:trPr>
        <w:tc>
          <w:tcPr>
            <w:tcW w:w="648" w:type="dxa"/>
            <w:vAlign w:val="top"/>
          </w:tcPr>
          <w:p>
            <w:pPr>
              <w:spacing w:line="266" w:lineRule="auto"/>
              <w:outlineLvl w:val="9"/>
              <w:rPr>
                <w:rFonts w:ascii="Arial"/>
                <w:sz w:val="21"/>
              </w:rPr>
            </w:pPr>
          </w:p>
          <w:p>
            <w:pPr>
              <w:spacing w:line="267" w:lineRule="auto"/>
              <w:outlineLvl w:val="9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4" w:lineRule="auto"/>
              <w:ind w:left="267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87" w:type="dxa"/>
            <w:vAlign w:val="top"/>
          </w:tcPr>
          <w:p>
            <w:pPr>
              <w:spacing w:line="425" w:lineRule="auto"/>
              <w:jc w:val="center"/>
              <w:outlineLvl w:val="9"/>
              <w:rPr>
                <w:rFonts w:ascii="Arial"/>
                <w:sz w:val="21"/>
              </w:rPr>
            </w:pPr>
          </w:p>
          <w:p>
            <w:pPr>
              <w:pStyle w:val="12"/>
              <w:spacing w:before="72" w:line="219" w:lineRule="auto"/>
              <w:jc w:val="center"/>
              <w:outlineLvl w:val="9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总铬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122" w:line="172" w:lineRule="exact"/>
              <w:ind w:left="1237"/>
              <w:outlineLvl w:val="9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4" w:line="246" w:lineRule="auto"/>
              <w:ind w:left="131" w:right="77" w:hanging="42"/>
              <w:outlineLvl w:val="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气相色谱质谱联用仪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Agilent8860-5977B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spacing w:line="277" w:lineRule="auto"/>
              <w:outlineLvl w:val="9"/>
              <w:rPr>
                <w:rFonts w:ascii="Arial"/>
                <w:sz w:val="21"/>
              </w:rPr>
            </w:pPr>
          </w:p>
          <w:p>
            <w:pPr>
              <w:spacing w:line="277" w:lineRule="auto"/>
              <w:outlineLvl w:val="9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2" w:lineRule="auto"/>
              <w:ind w:left="272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outlineLvl w:val="9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总砷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气相色谱质谱联用仪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Agilent8860-5977B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outlineLvl w:val="9"/>
              <w:rPr>
                <w:spacing w:val="-15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总铅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outlineLvl w:val="9"/>
              <w:rPr>
                <w:spacing w:val="-15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总镍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outlineLvl w:val="9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总铜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outlineLvl w:val="9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总锌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outlineLvl w:val="9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outlineLvl w:val="9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1，2-二氯苯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94" w:line="219" w:lineRule="auto"/>
              <w:ind w:left="85"/>
              <w:outlineLvl w:val="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《土壤和沉积物挥发性有机物的测</w:t>
            </w:r>
          </w:p>
          <w:p>
            <w:pPr>
              <w:pStyle w:val="12"/>
              <w:spacing w:before="110" w:line="220" w:lineRule="auto"/>
              <w:ind w:left="307"/>
              <w:outlineLvl w:val="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定吹扫捕集/气相色谱-质谱法》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position w:val="-1"/>
                <w:sz w:val="22"/>
                <w:szCs w:val="22"/>
              </w:rPr>
              <w:t>HJ605-2011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outlineLvl w:val="9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硝基苯类</w:t>
            </w:r>
          </w:p>
        </w:tc>
        <w:tc>
          <w:tcPr>
            <w:tcW w:w="447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outlineLvl w:val="9"/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土壤和沉积物 半挥发性有机物的测定 气相色谱-质谱法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HJ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834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-201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7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outlineLvl w:val="9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苯胺类</w:t>
            </w:r>
          </w:p>
        </w:tc>
        <w:tc>
          <w:tcPr>
            <w:tcW w:w="447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outlineLvl w:val="9"/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土壤和沉积物 半挥发性有机物的测定 气相色谱-质谱法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rFonts w:hint="eastAsia" w:eastAsia="宋体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HJ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834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-201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7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outlineLvl w:val="9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outlineLvl w:val="9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氯苯类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94" w:line="219" w:lineRule="auto"/>
              <w:ind w:left="85"/>
              <w:outlineLvl w:val="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《土壤和沉积物挥发性有机物的测</w:t>
            </w:r>
          </w:p>
          <w:p>
            <w:pPr>
              <w:pStyle w:val="12"/>
              <w:spacing w:before="110" w:line="220" w:lineRule="auto"/>
              <w:ind w:left="307"/>
              <w:outlineLvl w:val="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定吹扫捕集/气相色谱-质谱法》</w:t>
            </w:r>
          </w:p>
          <w:p>
            <w:pPr>
              <w:pStyle w:val="12"/>
              <w:spacing w:before="225" w:line="184" w:lineRule="auto"/>
              <w:ind w:left="1237"/>
              <w:outlineLvl w:val="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position w:val="-1"/>
                <w:sz w:val="22"/>
                <w:szCs w:val="22"/>
              </w:rPr>
              <w:t>HJ605-2011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outlineLvl w:val="9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</w:tbl>
    <w:p>
      <w:pPr>
        <w:pStyle w:val="3"/>
        <w:spacing w:line="363" w:lineRule="auto"/>
      </w:pPr>
    </w:p>
    <w:p>
      <w:pPr>
        <w:pStyle w:val="3"/>
        <w:spacing w:line="351" w:lineRule="auto"/>
      </w:pPr>
    </w:p>
    <w:p>
      <w:pPr>
        <w:pStyle w:val="3"/>
        <w:spacing w:line="350" w:lineRule="auto"/>
      </w:pPr>
    </w:p>
    <w:p>
      <w:pPr>
        <w:pStyle w:val="3"/>
        <w:spacing w:line="350" w:lineRule="auto"/>
      </w:pPr>
    </w:p>
    <w:p>
      <w:pPr>
        <w:spacing w:before="91" w:line="220" w:lineRule="auto"/>
        <w:ind w:left="17"/>
        <w:outlineLvl w:val="1"/>
        <w:rPr>
          <w:rFonts w:ascii="宋体" w:hAnsi="宋体" w:eastAsia="宋体" w:cs="宋体"/>
          <w:sz w:val="28"/>
          <w:szCs w:val="28"/>
        </w:rPr>
      </w:pPr>
      <w:bookmarkStart w:id="41" w:name="_Toc28675"/>
      <w:r>
        <w:rPr>
          <w:rFonts w:ascii="宋体" w:hAnsi="宋体" w:eastAsia="宋体" w:cs="宋体"/>
          <w:spacing w:val="6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7.3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样品保存、流转与制备</w:t>
      </w:r>
      <w:bookmarkEnd w:id="41"/>
    </w:p>
    <w:p>
      <w:pPr>
        <w:pStyle w:val="3"/>
        <w:spacing w:line="465" w:lineRule="auto"/>
      </w:pPr>
    </w:p>
    <w:p>
      <w:pPr>
        <w:spacing w:before="91" w:line="220" w:lineRule="auto"/>
        <w:ind w:left="1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7.3.1</w:t>
      </w:r>
      <w:r>
        <w:rPr>
          <w:rFonts w:ascii="宋体" w:hAnsi="宋体" w:eastAsia="宋体" w:cs="宋体"/>
          <w:spacing w:val="44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样品保存</w:t>
      </w:r>
    </w:p>
    <w:p>
      <w:pPr>
        <w:spacing w:before="291" w:line="624" w:lineRule="exact"/>
        <w:ind w:left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样品保存过程中的质量控制工作主要包括：</w:t>
      </w:r>
    </w:p>
    <w:p>
      <w:pPr>
        <w:spacing w:before="1" w:line="219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（1）样品按名称、编号和粒径分类保存。</w:t>
      </w:r>
    </w:p>
    <w:p>
      <w:pPr>
        <w:spacing w:before="291" w:line="624" w:lineRule="exact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（2）新鲜样品，用密封的聚乙烯或玻璃容器在</w:t>
      </w:r>
      <w:r>
        <w:rPr>
          <w:rFonts w:ascii="宋体" w:hAnsi="宋体" w:eastAsia="宋体" w:cs="宋体"/>
          <w:spacing w:val="-4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4℃以下避光保 存，样</w:t>
      </w:r>
    </w:p>
    <w:p>
      <w:pPr>
        <w:spacing w:before="1" w:line="219" w:lineRule="auto"/>
        <w:ind w:left="3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品要充满容器。</w:t>
      </w:r>
    </w:p>
    <w:p>
      <w:pPr>
        <w:spacing w:before="290" w:line="220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（3）预留样品在样品库造册保存。</w:t>
      </w:r>
    </w:p>
    <w:p>
      <w:pPr>
        <w:spacing w:before="291" w:line="624" w:lineRule="exact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（4）分析取用后的剩余样品，待测定全部完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成数据报出后，也移交样</w:t>
      </w:r>
    </w:p>
    <w:p>
      <w:pPr>
        <w:spacing w:before="186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sz w:val="28"/>
          <w:szCs w:val="28"/>
        </w:rPr>
        <w:t>品库保存</w:t>
      </w:r>
      <w:r>
        <w:rPr>
          <w:rFonts w:ascii="宋体" w:hAnsi="宋体" w:eastAsia="宋体" w:cs="宋体"/>
          <w:spacing w:val="-5"/>
          <w:sz w:val="28"/>
          <w:szCs w:val="28"/>
        </w:rPr>
        <w:t>（5）分析取用后的剩余样品一般保留半年，预留样品一般保留 2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年。</w:t>
      </w:r>
    </w:p>
    <w:p>
      <w:pPr>
        <w:spacing w:before="290" w:line="624" w:lineRule="exact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position w:val="26"/>
          <w:sz w:val="28"/>
          <w:szCs w:val="28"/>
        </w:rPr>
        <w:t>（6）新鲜样品保存时间参照《土壤环境质量评价技术规范</w:t>
      </w:r>
      <w:r>
        <w:rPr>
          <w:rFonts w:ascii="宋体" w:hAnsi="宋体" w:eastAsia="宋体" w:cs="宋体"/>
          <w:spacing w:val="6"/>
          <w:position w:val="26"/>
          <w:sz w:val="28"/>
          <w:szCs w:val="28"/>
        </w:rPr>
        <w:t>》（</w:t>
      </w:r>
      <w:r>
        <w:rPr>
          <w:rFonts w:ascii="宋体" w:hAnsi="宋体" w:eastAsia="宋体" w:cs="宋体"/>
          <w:position w:val="26"/>
          <w:sz w:val="28"/>
          <w:szCs w:val="28"/>
        </w:rPr>
        <w:t>HJ</w:t>
      </w:r>
      <w:r>
        <w:rPr>
          <w:rFonts w:ascii="宋体" w:hAnsi="宋体" w:eastAsia="宋体" w:cs="宋体"/>
          <w:spacing w:val="6"/>
          <w:position w:val="26"/>
          <w:sz w:val="28"/>
          <w:szCs w:val="28"/>
        </w:rPr>
        <w:t>/T</w:t>
      </w:r>
    </w:p>
    <w:p>
      <w:pPr>
        <w:spacing w:line="232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166-2004）。</w:t>
      </w:r>
    </w:p>
    <w:p>
      <w:pPr>
        <w:spacing w:before="271" w:line="624" w:lineRule="exact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position w:val="26"/>
          <w:sz w:val="28"/>
          <w:szCs w:val="28"/>
        </w:rPr>
        <w:t>（7）现场采样时详细填写现场观察的记录单，比如土层深度、 土壤质</w:t>
      </w:r>
    </w:p>
    <w:p>
      <w:pPr>
        <w:spacing w:before="1" w:line="219" w:lineRule="auto"/>
        <w:ind w:left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地、气味、颜色、含水率等，以便为分析工作提供</w:t>
      </w:r>
      <w:r>
        <w:rPr>
          <w:rFonts w:ascii="宋体" w:hAnsi="宋体" w:eastAsia="宋体" w:cs="宋体"/>
          <w:spacing w:val="-5"/>
          <w:sz w:val="28"/>
          <w:szCs w:val="28"/>
        </w:rPr>
        <w:t>依据。</w:t>
      </w:r>
    </w:p>
    <w:p>
      <w:pPr>
        <w:spacing w:before="293" w:line="411" w:lineRule="auto"/>
        <w:ind w:left="12" w:right="97" w:firstLine="5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（8）为确保采集、运输、贮存过程中的样品质量，本项目在现 场采样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>过程中设定现场质量控制样品，主要为现场平行样和现场空白样，密码平行</w:t>
      </w:r>
    </w:p>
    <w:p>
      <w:pPr>
        <w:spacing w:before="1" w:line="219" w:lineRule="auto"/>
        <w:ind w:left="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样比例不少于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10%，一个样品运送批次设置一个运输空白样品。</w:t>
      </w:r>
    </w:p>
    <w:p>
      <w:pPr>
        <w:spacing w:before="292" w:line="411" w:lineRule="auto"/>
        <w:ind w:left="60" w:right="109" w:firstLine="50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土壤样品保存方法和有效时间要求参照《土壤</w:t>
      </w:r>
      <w:r>
        <w:rPr>
          <w:rFonts w:ascii="宋体" w:hAnsi="宋体" w:eastAsia="宋体" w:cs="宋体"/>
          <w:spacing w:val="11"/>
          <w:sz w:val="28"/>
          <w:szCs w:val="28"/>
        </w:rPr>
        <w:t>环境监测技术规范》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8"/>
          <w:sz w:val="28"/>
          <w:szCs w:val="28"/>
        </w:rPr>
        <w:t>/T166-2004)、《地块土壤和地下水中挥发性有机物采样</w:t>
      </w:r>
      <w:r>
        <w:rPr>
          <w:rFonts w:ascii="宋体" w:hAnsi="宋体" w:eastAsia="宋体" w:cs="宋体"/>
          <w:spacing w:val="7"/>
          <w:sz w:val="28"/>
          <w:szCs w:val="28"/>
        </w:rPr>
        <w:t>技术导则》</w:t>
      </w:r>
    </w:p>
    <w:p>
      <w:pPr>
        <w:spacing w:before="1" w:line="218" w:lineRule="auto"/>
        <w:ind w:left="1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（HJ1019-2019）和全国土壤污染状况详查相关技术规定。</w:t>
      </w:r>
    </w:p>
    <w:p>
      <w:pPr>
        <w:pStyle w:val="3"/>
        <w:spacing w:line="467" w:lineRule="auto"/>
      </w:pPr>
    </w:p>
    <w:p>
      <w:pPr>
        <w:spacing w:before="91" w:line="220" w:lineRule="auto"/>
        <w:ind w:left="1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7.3.2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样品流转</w:t>
      </w:r>
    </w:p>
    <w:p>
      <w:pPr>
        <w:spacing w:before="290" w:line="221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（1）装运前核对</w:t>
      </w:r>
    </w:p>
    <w:p>
      <w:pPr>
        <w:spacing w:before="292" w:line="411" w:lineRule="auto"/>
        <w:ind w:left="9" w:firstLine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8"/>
          <w:szCs w:val="28"/>
        </w:rPr>
        <w:t>由工作组中样品管理员和质量监督员负责样品装运前的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核对，要求逐件 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与采样记录单进行核对，按照样品保存检查记录单要求进 行样品保存质量 </w:t>
      </w:r>
      <w:r>
        <w:rPr>
          <w:rFonts w:ascii="宋体" w:hAnsi="宋体" w:eastAsia="宋体" w:cs="宋体"/>
          <w:spacing w:val="-12"/>
          <w:sz w:val="28"/>
          <w:szCs w:val="28"/>
        </w:rPr>
        <w:t>检查，核对检查无误后分类装箱。样品装运前，放入采样单，明确样品名称、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7"/>
          <w:sz w:val="28"/>
          <w:szCs w:val="28"/>
        </w:rPr>
        <w:t xml:space="preserve">采样时间、样品介质、检测指标、样品寄送人等信息。采样单用防水封套保 </w:t>
      </w:r>
      <w:r>
        <w:rPr>
          <w:rFonts w:ascii="宋体" w:hAnsi="宋体" w:eastAsia="宋体" w:cs="宋体"/>
          <w:spacing w:val="-6"/>
          <w:sz w:val="28"/>
          <w:szCs w:val="28"/>
        </w:rPr>
        <w:t>护，装入样品箱一同进行送达样品检测单位。</w:t>
      </w:r>
      <w:r>
        <w:rPr>
          <w:rFonts w:ascii="宋体" w:hAnsi="宋体" w:eastAsia="宋体" w:cs="宋体"/>
          <w:spacing w:val="-7"/>
          <w:sz w:val="28"/>
          <w:szCs w:val="28"/>
        </w:rPr>
        <w:t>样品装入样品箱过程中，要采</w:t>
      </w:r>
    </w:p>
    <w:p>
      <w:pPr>
        <w:spacing w:before="1" w:line="219" w:lineRule="auto"/>
        <w:ind w:lef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用泡沫材料填冲样品 瓶和样品箱之间空隙。</w:t>
      </w:r>
    </w:p>
    <w:p>
      <w:pPr>
        <w:spacing w:before="291" w:line="220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（2）样品运输</w:t>
      </w:r>
    </w:p>
    <w:p>
      <w:pPr>
        <w:spacing w:before="291" w:line="624" w:lineRule="exact"/>
        <w:ind w:left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流转运输应保证样品安全和及时送达，本项目选用小汽车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将土 壤样品</w:t>
      </w:r>
    </w:p>
    <w:p>
      <w:pPr>
        <w:spacing w:before="1" w:line="219" w:lineRule="auto"/>
        <w:ind w:left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运送至质控实验室进行样品制备，同时确保样品在保存时限</w:t>
      </w:r>
      <w:r>
        <w:rPr>
          <w:rFonts w:ascii="宋体" w:hAnsi="宋体" w:eastAsia="宋体" w:cs="宋体"/>
          <w:spacing w:val="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内能尽快运送</w:t>
      </w:r>
    </w:p>
    <w:p>
      <w:pPr>
        <w:spacing w:line="525" w:lineRule="exact"/>
      </w:pPr>
    </w:p>
    <w:p>
      <w:pPr>
        <w:spacing w:before="186" w:line="624" w:lineRule="exact"/>
        <w:ind w:lef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6"/>
          <w:sz w:val="28"/>
          <w:szCs w:val="28"/>
        </w:rPr>
        <w:t xml:space="preserve">至检测实验室。运输过程中要低温保存，采用适当的 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减震隔离措施，严防</w:t>
      </w:r>
    </w:p>
    <w:p>
      <w:pPr>
        <w:spacing w:before="1" w:line="219" w:lineRule="auto"/>
        <w:ind w:left="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样品瓶的破损、混淆或沾污。</w:t>
      </w:r>
    </w:p>
    <w:p>
      <w:pPr>
        <w:spacing w:before="290" w:line="220" w:lineRule="auto"/>
        <w:ind w:left="57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（3）样品接收</w:t>
      </w:r>
    </w:p>
    <w:p>
      <w:pPr>
        <w:spacing w:before="291" w:line="411" w:lineRule="auto"/>
        <w:ind w:left="9" w:right="163" w:firstLine="55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样品检测单位收到样品箱后，应立即检查样品箱是否有破损</w:t>
      </w:r>
      <w:r>
        <w:rPr>
          <w:rFonts w:ascii="宋体" w:hAnsi="宋体" w:eastAsia="宋体" w:cs="宋体"/>
          <w:spacing w:val="-3"/>
          <w:sz w:val="28"/>
          <w:szCs w:val="28"/>
        </w:rPr>
        <w:t>， 按照采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样单清点核实样品数量、样品瓶编号以及破损情况。若出现 样品瓶缺少、</w:t>
      </w:r>
    </w:p>
    <w:p>
      <w:pPr>
        <w:spacing w:before="2" w:line="219" w:lineRule="auto"/>
        <w:ind w:left="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破损或样品瓶标签无法辨识等重大问题，样品检测单 位的实验室负责</w:t>
      </w:r>
      <w:r>
        <w:rPr>
          <w:rFonts w:ascii="宋体" w:hAnsi="宋体" w:eastAsia="宋体" w:cs="宋体"/>
          <w:spacing w:val="-5"/>
          <w:sz w:val="28"/>
          <w:szCs w:val="28"/>
        </w:rPr>
        <w:t>人应</w:t>
      </w:r>
    </w:p>
    <w:p>
      <w:pPr>
        <w:spacing w:before="290" w:line="220" w:lineRule="auto"/>
        <w:ind w:left="1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7.3.3</w:t>
      </w:r>
      <w:r>
        <w:rPr>
          <w:rFonts w:ascii="宋体" w:hAnsi="宋体" w:eastAsia="宋体" w:cs="宋体"/>
          <w:spacing w:val="-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样品制备</w:t>
      </w:r>
    </w:p>
    <w:p>
      <w:pPr>
        <w:spacing w:before="291" w:line="624" w:lineRule="exact"/>
        <w:ind w:left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土壤和地下水样品的制备按照</w:t>
      </w:r>
      <w:r>
        <w:rPr>
          <w:rFonts w:ascii="宋体" w:hAnsi="宋体" w:eastAsia="宋体" w:cs="宋体"/>
          <w:spacing w:val="-66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GB/T 32722、HJ 25.2、HJ/T 166</w:t>
      </w:r>
      <w:r>
        <w:rPr>
          <w:rFonts w:ascii="宋体" w:hAnsi="宋体" w:eastAsia="宋体" w:cs="宋体"/>
          <w:spacing w:val="-64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和拟选</w:t>
      </w:r>
    </w:p>
    <w:p>
      <w:pPr>
        <w:spacing w:before="1" w:line="220" w:lineRule="auto"/>
        <w:ind w:left="1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取分析方法的要求进行。</w:t>
      </w:r>
    </w:p>
    <w:p>
      <w:pPr>
        <w:spacing w:before="271" w:line="225" w:lineRule="auto"/>
        <w:ind w:left="13"/>
        <w:outlineLvl w:val="0"/>
        <w:rPr>
          <w:rFonts w:ascii="宋体" w:hAnsi="宋体" w:eastAsia="宋体" w:cs="宋体"/>
          <w:sz w:val="31"/>
          <w:szCs w:val="31"/>
        </w:rPr>
      </w:pPr>
      <w:bookmarkStart w:id="42" w:name="_Toc10870"/>
      <w:r>
        <w:rPr>
          <w:rFonts w:ascii="宋体" w:hAnsi="宋体" w:eastAsia="宋体" w:cs="宋体"/>
          <w:spacing w:val="9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8</w:t>
      </w:r>
      <w:r>
        <w:rPr>
          <w:rFonts w:ascii="宋体" w:hAnsi="宋体" w:eastAsia="宋体" w:cs="宋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监测结果及分析</w:t>
      </w:r>
      <w:bookmarkEnd w:id="42"/>
    </w:p>
    <w:p>
      <w:pPr>
        <w:pStyle w:val="3"/>
        <w:spacing w:line="459" w:lineRule="auto"/>
      </w:pPr>
    </w:p>
    <w:p>
      <w:pPr>
        <w:spacing w:before="92" w:line="221" w:lineRule="auto"/>
        <w:ind w:left="12"/>
        <w:outlineLvl w:val="1"/>
        <w:rPr>
          <w:rFonts w:ascii="宋体" w:hAnsi="宋体" w:eastAsia="宋体" w:cs="宋体"/>
          <w:sz w:val="28"/>
          <w:szCs w:val="28"/>
        </w:rPr>
      </w:pPr>
      <w:bookmarkStart w:id="43" w:name="_Toc5514"/>
      <w:r>
        <w:rPr>
          <w:rFonts w:ascii="宋体" w:hAnsi="宋体" w:eastAsia="宋体" w:cs="宋体"/>
          <w:spacing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8.1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土壤监测结果分析</w:t>
      </w:r>
      <w:bookmarkEnd w:id="43"/>
    </w:p>
    <w:p>
      <w:pPr>
        <w:pStyle w:val="3"/>
        <w:spacing w:line="242" w:lineRule="auto"/>
      </w:pPr>
    </w:p>
    <w:p>
      <w:pPr>
        <w:pStyle w:val="3"/>
        <w:spacing w:line="243" w:lineRule="auto"/>
      </w:pPr>
    </w:p>
    <w:p>
      <w:pPr>
        <w:spacing w:before="91" w:line="221" w:lineRule="auto"/>
        <w:ind w:left="1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8.1.1</w:t>
      </w:r>
      <w:r>
        <w:rPr>
          <w:rFonts w:ascii="宋体" w:hAnsi="宋体" w:eastAsia="宋体" w:cs="宋体"/>
          <w:spacing w:val="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土壤分析方法</w:t>
      </w:r>
    </w:p>
    <w:p>
      <w:pPr>
        <w:spacing w:line="119" w:lineRule="exact"/>
      </w:pPr>
    </w:p>
    <w:tbl>
      <w:tblPr>
        <w:tblStyle w:val="11"/>
        <w:tblW w:w="9062" w:type="dxa"/>
        <w:tblInd w:w="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1387"/>
        <w:gridCol w:w="4477"/>
        <w:gridCol w:w="25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195" w:line="222" w:lineRule="auto"/>
              <w:ind w:left="106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序号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195" w:line="220" w:lineRule="auto"/>
              <w:ind w:left="249"/>
              <w:rPr>
                <w:sz w:val="22"/>
                <w:szCs w:val="22"/>
              </w:rPr>
            </w:pPr>
            <w:r>
              <w:rPr>
                <w:spacing w:val="13"/>
                <w:sz w:val="22"/>
                <w:szCs w:val="22"/>
              </w:rPr>
              <w:t>检测项目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93" w:line="219" w:lineRule="auto"/>
              <w:ind w:left="102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检测方法及依据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195" w:line="220" w:lineRule="auto"/>
              <w:ind w:left="3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检测仪器/型号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64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4" w:lineRule="auto"/>
              <w:ind w:left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42" w:line="215" w:lineRule="auto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6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值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74"/>
              <w:ind w:left="1236" w:right="409" w:hanging="76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《土壤pH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值的测定电位法》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HJ962-2018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42" w:line="215" w:lineRule="auto"/>
              <w:ind w:left="41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pHS-3E</w:t>
            </w:r>
            <w:r>
              <w:rPr>
                <w:spacing w:val="-4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酸度计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64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72" w:line="184" w:lineRule="auto"/>
              <w:ind w:left="2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50" w:line="222" w:lineRule="auto"/>
              <w:jc w:val="center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总汞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91" w:line="239" w:lineRule="auto"/>
              <w:ind w:left="35" w:right="8" w:firstLine="508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87" w:line="239" w:lineRule="auto"/>
              <w:ind w:left="687" w:right="281" w:hanging="373"/>
              <w:rPr>
                <w:sz w:val="22"/>
                <w:szCs w:val="22"/>
              </w:rPr>
            </w:pPr>
            <w:r>
              <w:rPr>
                <w:spacing w:val="36"/>
                <w:sz w:val="22"/>
                <w:szCs w:val="22"/>
              </w:rPr>
              <w:t>紫外分光光度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计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Cary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64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4" w:lineRule="auto"/>
              <w:ind w:left="2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4" w:line="220" w:lineRule="auto"/>
              <w:jc w:val="center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总镉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113" w:line="238" w:lineRule="auto"/>
              <w:ind w:left="303" w:right="121" w:firstLine="290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103" w:line="238" w:lineRule="auto"/>
              <w:ind w:left="722" w:right="197" w:firstLine="48"/>
              <w:rPr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</w:trPr>
        <w:tc>
          <w:tcPr>
            <w:tcW w:w="64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4" w:lineRule="auto"/>
              <w:ind w:left="2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87" w:type="dxa"/>
            <w:vAlign w:val="top"/>
          </w:tcPr>
          <w:p>
            <w:pPr>
              <w:spacing w:line="425" w:lineRule="auto"/>
              <w:jc w:val="center"/>
              <w:rPr>
                <w:rFonts w:ascii="Arial"/>
                <w:sz w:val="21"/>
              </w:rPr>
            </w:pPr>
          </w:p>
          <w:p>
            <w:pPr>
              <w:pStyle w:val="12"/>
              <w:spacing w:before="72" w:line="219" w:lineRule="auto"/>
              <w:jc w:val="center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总铬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122" w:line="172" w:lineRule="exact"/>
              <w:ind w:left="1237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4" w:line="246" w:lineRule="auto"/>
              <w:ind w:left="131" w:right="77" w:hanging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气相色谱质谱联用仪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Agilent8860-5977B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12"/>
              <w:spacing w:before="71" w:line="182" w:lineRule="auto"/>
              <w:ind w:left="2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rPr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总砷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rPr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气相色谱质谱联用仪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Agilent8860-5977B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rPr>
                <w:spacing w:val="-15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总铅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108" w:line="219" w:lineRule="auto"/>
              <w:ind w:left="85"/>
              <w:jc w:val="center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rPr>
                <w:spacing w:val="-15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总镍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总铜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right="70"/>
              <w:jc w:val="center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总锌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108" w:line="219" w:lineRule="auto"/>
              <w:ind w:left="85"/>
              <w:jc w:val="center"/>
              <w:rPr>
                <w:rFonts w:hint="default"/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《</w:t>
            </w:r>
            <w:r>
              <w:rPr>
                <w:spacing w:val="-3"/>
                <w:sz w:val="22"/>
                <w:szCs w:val="22"/>
              </w:rPr>
              <w:fldChar w:fldCharType="begin"/>
            </w:r>
            <w:r>
              <w:rPr>
                <w:spacing w:val="-3"/>
                <w:sz w:val="22"/>
                <w:szCs w:val="22"/>
              </w:rPr>
              <w:instrText xml:space="preserve"> HYPERLINK "https://wenku.so.com/d/d72dcee5fef15cb9597af541ec41a332?src=ob_zz_juhe360wenku" \t "https://www.so.com/_blank" </w:instrText>
            </w:r>
            <w:r>
              <w:rPr>
                <w:spacing w:val="-3"/>
                <w:sz w:val="22"/>
                <w:szCs w:val="22"/>
              </w:rPr>
              <w:fldChar w:fldCharType="separate"/>
            </w:r>
            <w:r>
              <w:rPr>
                <w:rFonts w:hint="default"/>
                <w:spacing w:val="-3"/>
                <w:sz w:val="22"/>
                <w:szCs w:val="22"/>
              </w:rPr>
              <w:t>土壤和沉积物 无机元素的测定波长色散X射线荧光光谱法</w:t>
            </w:r>
            <w:r>
              <w:rPr>
                <w:rFonts w:hint="eastAsia"/>
                <w:spacing w:val="-3"/>
                <w:sz w:val="22"/>
                <w:szCs w:val="22"/>
                <w:lang w:eastAsia="zh-CN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rPr>
                <w:spacing w:val="-1"/>
                <w:sz w:val="22"/>
                <w:szCs w:val="22"/>
              </w:rPr>
            </w:pPr>
            <w:r>
              <w:rPr>
                <w:rFonts w:hint="default"/>
                <w:spacing w:val="-3"/>
                <w:sz w:val="22"/>
                <w:szCs w:val="22"/>
              </w:rPr>
              <w:t>HJ 780-2015</w:t>
            </w:r>
            <w:r>
              <w:rPr>
                <w:rFonts w:hint="default"/>
                <w:spacing w:val="-3"/>
                <w:sz w:val="22"/>
                <w:szCs w:val="22"/>
              </w:rPr>
              <w:fldChar w:fldCharType="end"/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1，2-二氯苯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94" w:line="219" w:lineRule="auto"/>
              <w:ind w:left="8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《土壤和沉积物挥发性有机物的测</w:t>
            </w:r>
          </w:p>
          <w:p>
            <w:pPr>
              <w:pStyle w:val="12"/>
              <w:spacing w:before="110" w:line="220" w:lineRule="auto"/>
              <w:ind w:left="30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定吹扫捕集/气相色谱-质谱法》</w:t>
            </w:r>
          </w:p>
          <w:p>
            <w:pPr>
              <w:pStyle w:val="12"/>
              <w:spacing w:before="225" w:line="184" w:lineRule="auto"/>
              <w:ind w:left="123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position w:val="-1"/>
                <w:sz w:val="22"/>
                <w:szCs w:val="22"/>
              </w:rPr>
              <w:t>HJ605-2011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硝基苯类</w:t>
            </w:r>
          </w:p>
        </w:tc>
        <w:tc>
          <w:tcPr>
            <w:tcW w:w="447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outlineLvl w:val="9"/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土壤和沉积物 半挥发性有机物的测定 气相色谱-质谱法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rPr>
                <w:spacing w:val="-1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HJ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834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-201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7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苯胺类</w:t>
            </w:r>
          </w:p>
        </w:tc>
        <w:tc>
          <w:tcPr>
            <w:tcW w:w="447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60" w:lineRule="atLeast"/>
              <w:ind w:left="0" w:right="0" w:firstLine="0"/>
              <w:outlineLvl w:val="9"/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土壤和沉积物 半挥发性有机物的测定 气相色谱-质谱法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》</w:t>
            </w:r>
          </w:p>
          <w:p>
            <w:pPr>
              <w:pStyle w:val="12"/>
              <w:spacing w:before="225" w:line="184" w:lineRule="auto"/>
              <w:ind w:left="1237"/>
              <w:rPr>
                <w:rFonts w:hint="eastAsia" w:eastAsia="宋体"/>
                <w:spacing w:val="-1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HJ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834</w:t>
            </w:r>
            <w:r>
              <w:rPr>
                <w:rFonts w:hint="default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en-US" w:bidi="ar-SA"/>
              </w:rPr>
              <w:t>-201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spacing w:val="-3"/>
                <w:kern w:val="0"/>
                <w:sz w:val="22"/>
                <w:szCs w:val="22"/>
                <w:lang w:val="en-US" w:eastAsia="zh-CN" w:bidi="ar-SA"/>
              </w:rPr>
              <w:t>7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648" w:type="dxa"/>
            <w:vAlign w:val="top"/>
          </w:tcPr>
          <w:p>
            <w:pPr>
              <w:pStyle w:val="12"/>
              <w:spacing w:before="71" w:line="182" w:lineRule="auto"/>
              <w:ind w:left="272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387" w:type="dxa"/>
            <w:vAlign w:val="top"/>
          </w:tcPr>
          <w:p>
            <w:pPr>
              <w:pStyle w:val="12"/>
              <w:spacing w:before="267" w:line="241" w:lineRule="auto"/>
              <w:ind w:left="375" w:right="70" w:hanging="286"/>
              <w:jc w:val="center"/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:lang w:val="en-US" w:eastAsia="zh-CN"/>
              </w:rPr>
              <w:t>氯苯类</w:t>
            </w:r>
          </w:p>
        </w:tc>
        <w:tc>
          <w:tcPr>
            <w:tcW w:w="4477" w:type="dxa"/>
            <w:vAlign w:val="top"/>
          </w:tcPr>
          <w:p>
            <w:pPr>
              <w:pStyle w:val="12"/>
              <w:spacing w:before="94" w:line="219" w:lineRule="auto"/>
              <w:ind w:left="8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《土壤和沉积物挥发性有机物的测</w:t>
            </w:r>
          </w:p>
          <w:p>
            <w:pPr>
              <w:pStyle w:val="12"/>
              <w:spacing w:before="110" w:line="220" w:lineRule="auto"/>
              <w:ind w:left="307"/>
              <w:outlineLvl w:val="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定吹扫捕集/气相色谱-质谱法》</w:t>
            </w:r>
          </w:p>
          <w:p>
            <w:pPr>
              <w:pStyle w:val="12"/>
              <w:spacing w:before="225" w:line="184" w:lineRule="auto"/>
              <w:ind w:left="123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position w:val="-1"/>
                <w:sz w:val="22"/>
                <w:szCs w:val="22"/>
              </w:rPr>
              <w:t>HJ605-2011</w:t>
            </w:r>
          </w:p>
        </w:tc>
        <w:tc>
          <w:tcPr>
            <w:tcW w:w="2550" w:type="dxa"/>
            <w:vAlign w:val="top"/>
          </w:tcPr>
          <w:p>
            <w:pPr>
              <w:pStyle w:val="12"/>
              <w:spacing w:before="268" w:line="238" w:lineRule="auto"/>
              <w:ind w:left="131" w:right="77" w:hanging="42"/>
              <w:rPr>
                <w:spacing w:val="-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气相色谱仪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Agilent8860</w:t>
            </w:r>
          </w:p>
        </w:tc>
      </w:tr>
    </w:tbl>
    <w:p>
      <w:pPr>
        <w:pStyle w:val="3"/>
      </w:pPr>
    </w:p>
    <w:p/>
    <w:p/>
    <w:p/>
    <w:p/>
    <w:p/>
    <w:p/>
    <w:p>
      <w:pPr>
        <w:spacing w:before="91" w:line="221" w:lineRule="auto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8.1.2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土壤各点位监测结果</w:t>
      </w:r>
    </w:p>
    <w:p>
      <w:pPr>
        <w:pStyle w:val="3"/>
        <w:spacing w:line="256" w:lineRule="auto"/>
      </w:pPr>
    </w:p>
    <w:p>
      <w:pPr>
        <w:spacing w:before="91" w:line="226" w:lineRule="auto"/>
        <w:jc w:val="center"/>
        <w:rPr>
          <w:rFonts w:ascii="宋体" w:hAnsi="宋体" w:eastAsia="宋体" w:cs="宋体"/>
          <w:spacing w:val="-1"/>
          <w:position w:val="-1"/>
          <w:sz w:val="28"/>
          <w:szCs w:val="28"/>
        </w:rPr>
      </w:pPr>
      <w:r>
        <w:rPr>
          <w:rFonts w:ascii="宋体" w:hAnsi="宋体" w:eastAsia="宋体" w:cs="宋体"/>
          <w:spacing w:val="-1"/>
          <w:position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土壤环境检测结果一览表</w:t>
      </w:r>
    </w:p>
    <w:p>
      <w:pPr>
        <w:spacing w:line="104" w:lineRule="exact"/>
      </w:pPr>
    </w:p>
    <w:p>
      <w:pPr>
        <w:pStyle w:val="3"/>
      </w:pPr>
    </w:p>
    <w:p>
      <w:pPr>
        <w:jc w:val="center"/>
        <w:rPr>
          <w:rFonts w:ascii="Times New Roman" w:hAnsi="Times New Roman" w:cs="Times New Roman"/>
          <w:b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color w:val="auto"/>
          <w:sz w:val="20"/>
          <w:szCs w:val="20"/>
          <w:highlight w:val="none"/>
          <w:lang w:val="en-US" w:eastAsia="zh-CN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auto"/>
          <w:sz w:val="20"/>
          <w:szCs w:val="20"/>
          <w:highlight w:val="none"/>
        </w:rPr>
        <w:t>单位：mg/kg</w:t>
      </w:r>
    </w:p>
    <w:p/>
    <w:tbl>
      <w:tblPr>
        <w:tblStyle w:val="8"/>
        <w:tblW w:w="9313" w:type="dxa"/>
        <w:jc w:val="center"/>
        <w:tblBorders>
          <w:top w:val="single" w:color="auto" w:sz="12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2265"/>
        <w:gridCol w:w="1249"/>
        <w:gridCol w:w="1249"/>
        <w:gridCol w:w="1249"/>
        <w:gridCol w:w="1249"/>
        <w:gridCol w:w="12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tblHeader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 xml:space="preserve">序号                 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bottom"/>
          </w:tcPr>
          <w:p>
            <w:pPr>
              <w:jc w:val="left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438275" cy="601980"/>
                      <wp:effectExtent l="1905" t="4445" r="7620" b="22225"/>
                      <wp:wrapNone/>
                      <wp:docPr id="41" name="直接连接符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27910" y="6211570"/>
                                <a:ext cx="1438275" cy="6019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65pt;margin-top:0.3pt;height:47.4pt;width:113.25pt;z-index:251668480;mso-width-relative:page;mso-height-relative:page;" filled="f" stroked="t" coordsize="21600,21600" o:gfxdata="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2eIwQ1QAAAAYBAAAPAAAAAAAAAAEAIAAAACIAAABk&#10;cnMvZG93bnJldi54bWxQSwECFAAUAAAACACHTuJA3V6jHAkCAADmAwAADgAAAAAAAAABACAAAAAk&#10;AQAAZHJzL2Uyb0RvYy54bWxQSwUGAAAAAAYABgBZAQAAnwUAAAAA&#10;">
                      <v:fill on="f" focussize="0,0"/>
                      <v:stroke weight="0.5pt" color="#00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>检测点位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          </w:t>
            </w:r>
          </w:p>
          <w:p>
            <w:pPr>
              <w:pStyle w:val="16"/>
              <w:ind w:firstLine="211" w:firstLineChars="100"/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21"/>
                <w:szCs w:val="21"/>
                <w:highlight w:val="none"/>
              </w:rPr>
              <w:t>检测项目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1#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2#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3#</w:t>
            </w:r>
          </w:p>
        </w:tc>
        <w:tc>
          <w:tcPr>
            <w:tcW w:w="1249" w:type="dxa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标准限值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单项评价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pH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（无量纲）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7.02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7.05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7.03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汞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0.0519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0.0787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0.0385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38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镉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0.40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0.42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0.46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65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总铬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62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71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砷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10.5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9.59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11.6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铅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20.0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20.0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18.2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800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镍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37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34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900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铜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24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18000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总锌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62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56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硝基苯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类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76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11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1,2-二氯苯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560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12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苯胺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累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260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  <w:jc w:val="center"/>
        </w:trPr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13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氯苯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类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未检出</w:t>
            </w:r>
          </w:p>
        </w:tc>
        <w:tc>
          <w:tcPr>
            <w:tcW w:w="124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270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exact"/>
          <w:jc w:val="center"/>
        </w:trPr>
        <w:tc>
          <w:tcPr>
            <w:tcW w:w="802" w:type="dxa"/>
            <w:tcBorders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备注</w:t>
            </w:r>
          </w:p>
        </w:tc>
        <w:tc>
          <w:tcPr>
            <w:tcW w:w="8511" w:type="dxa"/>
            <w:gridSpan w:val="6"/>
            <w:tcBorders>
              <w:left w:val="single" w:color="auto" w:sz="4" w:space="0"/>
              <w:bottom w:val="single" w:color="auto" w:sz="12" w:space="0"/>
            </w:tcBorders>
            <w:vAlign w:val="center"/>
          </w:tcPr>
          <w:p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“未检出”表示检测结果低于方法检出限；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jc w:val="both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土壤监测结果执行《土壤环境质量 建设用地土壤污染风险管控标准（试行）》GB 36600-2018表1第二类用地筛选要求。</w:t>
            </w:r>
          </w:p>
        </w:tc>
      </w:tr>
    </w:tbl>
    <w:p/>
    <w:p/>
    <w:p/>
    <w:p/>
    <w:p/>
    <w:p>
      <w:pPr>
        <w:spacing w:before="91" w:line="221" w:lineRule="auto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8.1.3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土壤监测结果分析</w:t>
      </w:r>
    </w:p>
    <w:p>
      <w:pPr>
        <w:pStyle w:val="3"/>
        <w:spacing w:line="243" w:lineRule="auto"/>
      </w:pPr>
    </w:p>
    <w:p>
      <w:pPr>
        <w:spacing w:before="91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sz w:val="28"/>
          <w:szCs w:val="28"/>
        </w:rPr>
        <w:t>土壤检测结果符合相关规范要求。</w:t>
      </w:r>
    </w:p>
    <w:p>
      <w:pPr>
        <w:pStyle w:val="3"/>
        <w:spacing w:line="245" w:lineRule="auto"/>
      </w:pPr>
    </w:p>
    <w:p>
      <w:pPr>
        <w:spacing w:before="169" w:line="225" w:lineRule="auto"/>
        <w:ind w:left="13"/>
        <w:outlineLvl w:val="0"/>
        <w:rPr>
          <w:rFonts w:ascii="宋体" w:hAnsi="宋体" w:eastAsia="宋体" w:cs="宋体"/>
          <w:sz w:val="31"/>
          <w:szCs w:val="31"/>
        </w:rPr>
      </w:pPr>
      <w:bookmarkStart w:id="44" w:name="_Toc22965"/>
      <w:r>
        <w:rPr>
          <w:rFonts w:ascii="宋体" w:hAnsi="宋体" w:eastAsia="宋体" w:cs="宋体"/>
          <w:spacing w:val="14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9</w:t>
      </w:r>
      <w:r>
        <w:rPr>
          <w:rFonts w:ascii="宋体" w:hAnsi="宋体" w:eastAsia="宋体" w:cs="宋体"/>
          <w:spacing w:val="1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4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质量保证与质量控制</w:t>
      </w:r>
      <w:bookmarkEnd w:id="44"/>
    </w:p>
    <w:p>
      <w:pPr>
        <w:pStyle w:val="3"/>
        <w:spacing w:line="459" w:lineRule="auto"/>
      </w:pPr>
    </w:p>
    <w:p>
      <w:pPr>
        <w:spacing w:before="91" w:line="221" w:lineRule="auto"/>
        <w:ind w:left="12"/>
        <w:outlineLvl w:val="1"/>
        <w:rPr>
          <w:rFonts w:ascii="宋体" w:hAnsi="宋体" w:eastAsia="宋体" w:cs="宋体"/>
          <w:sz w:val="28"/>
          <w:szCs w:val="28"/>
        </w:rPr>
      </w:pPr>
      <w:bookmarkStart w:id="45" w:name="_Toc16110"/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9.1</w:t>
      </w:r>
      <w:r>
        <w:rPr>
          <w:rFonts w:ascii="宋体" w:hAnsi="宋体" w:eastAsia="宋体" w:cs="宋体"/>
          <w:spacing w:val="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自行监测质量体系</w:t>
      </w:r>
      <w:bookmarkEnd w:id="45"/>
    </w:p>
    <w:p>
      <w:pPr>
        <w:pStyle w:val="3"/>
        <w:spacing w:line="241" w:lineRule="auto"/>
      </w:pPr>
    </w:p>
    <w:p>
      <w:pPr>
        <w:spacing w:before="91" w:line="411" w:lineRule="auto"/>
        <w:ind w:left="37" w:right="105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样品按</w:t>
      </w:r>
      <w:r>
        <w:rPr>
          <w:rFonts w:ascii="宋体" w:hAnsi="宋体" w:eastAsia="宋体" w:cs="宋体"/>
          <w:spacing w:val="-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10%的比例随机抽取实验室平行样，其中无机样品并插入国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家一级标准物质作为准确度监控样，挥发性有机物和半挥发性有机物等</w:t>
      </w:r>
    </w:p>
    <w:p>
      <w:pPr>
        <w:spacing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有机物检测采用加标回收实施质控，替代物加标样品全部覆盖。</w:t>
      </w:r>
    </w:p>
    <w:p>
      <w:pPr>
        <w:pStyle w:val="3"/>
        <w:spacing w:line="241" w:lineRule="auto"/>
      </w:pPr>
    </w:p>
    <w:p>
      <w:pPr>
        <w:spacing w:before="92" w:line="411" w:lineRule="auto"/>
        <w:ind w:left="33" w:right="52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①质控样：采用国家有证标准物质对土壤的铜、镉、铅、镍、汞、</w:t>
      </w:r>
      <w:r>
        <w:rPr>
          <w:rFonts w:ascii="宋体" w:hAnsi="宋体" w:eastAsia="宋体" w:cs="宋体"/>
          <w:spacing w:val="1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4"/>
          <w:sz w:val="28"/>
          <w:szCs w:val="28"/>
        </w:rPr>
        <w:t>砷，</w:t>
      </w:r>
      <w:r>
        <w:rPr>
          <w:rFonts w:ascii="宋体" w:hAnsi="宋体" w:eastAsia="宋体" w:cs="宋体"/>
          <w:sz w:val="28"/>
          <w:szCs w:val="28"/>
        </w:rPr>
        <w:t>pH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4"/>
          <w:sz w:val="28"/>
          <w:szCs w:val="28"/>
        </w:rPr>
        <w:t>值；水样的硫酸盐、氯化物、挥发性酚类、耗氧量、氨氮、亚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硝酸盐氮、硝酸盐氮、砷、汞、六价铬的检测准确度进行了检查，所检</w:t>
      </w:r>
    </w:p>
    <w:p>
      <w:pPr>
        <w:spacing w:before="1"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标准物质的测定值均在标准值的不确定度范围内。</w:t>
      </w:r>
    </w:p>
    <w:p>
      <w:pPr>
        <w:pStyle w:val="3"/>
        <w:spacing w:line="244" w:lineRule="auto"/>
      </w:pPr>
    </w:p>
    <w:p>
      <w:pPr>
        <w:spacing w:before="91" w:line="411" w:lineRule="auto"/>
        <w:ind w:left="34" w:right="102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②方法空白：空白样品包括全程空白、运输空白、淋洗空白</w:t>
      </w:r>
      <w:r>
        <w:rPr>
          <w:rFonts w:ascii="宋体" w:hAnsi="宋体" w:eastAsia="宋体" w:cs="宋体"/>
          <w:spacing w:val="7"/>
          <w:sz w:val="28"/>
          <w:szCs w:val="28"/>
        </w:rPr>
        <w:t>、试剂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空白等。空白样品测定结果一般应低于方法检测限。若空白测定结果低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于方法检出限，则可忽略不计；若空白测定结果略高于方法检测限但比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较稳定，可进行多次重复试验，计算空白测定平均值并从样品测定结果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中扣除；若空白测定结果明显超过正常值，则表明分析测试过程有严重</w:t>
      </w:r>
    </w:p>
    <w:p>
      <w:pPr>
        <w:spacing w:before="2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污染，样品测定结果不可靠，实验室应查找</w:t>
      </w:r>
      <w:r>
        <w:rPr>
          <w:rFonts w:ascii="宋体" w:hAnsi="宋体" w:eastAsia="宋体" w:cs="宋体"/>
          <w:spacing w:val="1"/>
          <w:sz w:val="28"/>
          <w:szCs w:val="28"/>
        </w:rPr>
        <w:t>原因，重新对样品进行测定。</w:t>
      </w:r>
    </w:p>
    <w:p>
      <w:pPr>
        <w:spacing w:before="332" w:line="411" w:lineRule="auto"/>
        <w:ind w:left="58" w:right="93" w:firstLine="5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挥发性有机物等样品分析时，通常要做全程空白试验，以便了解样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品采集与流转过程中可能存在沾污情况。因此，不允许从样品测定结果中</w:t>
      </w:r>
    </w:p>
    <w:p>
      <w:pPr>
        <w:spacing w:before="2" w:line="219" w:lineRule="auto"/>
        <w:ind w:left="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扣除全程空白样品的测定结果。</w:t>
      </w:r>
    </w:p>
    <w:p>
      <w:pPr>
        <w:spacing w:before="329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position w:val="26"/>
          <w:sz w:val="28"/>
          <w:szCs w:val="28"/>
        </w:rPr>
        <w:t>土壤每批样品至少保证分析一组全程序空白、</w:t>
      </w:r>
      <w:r>
        <w:rPr>
          <w:rFonts w:ascii="宋体" w:hAnsi="宋体" w:eastAsia="宋体" w:cs="宋体"/>
          <w:position w:val="26"/>
          <w:sz w:val="28"/>
          <w:szCs w:val="28"/>
        </w:rPr>
        <w:t>运输空白、试剂空白、</w:t>
      </w:r>
    </w:p>
    <w:p>
      <w:pPr>
        <w:spacing w:before="1" w:line="219" w:lineRule="auto"/>
        <w:ind w:left="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设备空白，且空白值的测定结果低于方法的检出限，未出现过程污染。</w:t>
      </w:r>
    </w:p>
    <w:p>
      <w:pPr>
        <w:pStyle w:val="3"/>
      </w:pPr>
    </w:p>
    <w:p>
      <w:pPr>
        <w:spacing w:before="188" w:line="411" w:lineRule="auto"/>
        <w:ind w:right="5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 xml:space="preserve">③样品加标样：对土壤的 </w:t>
      </w:r>
      <w:r>
        <w:rPr>
          <w:rFonts w:ascii="宋体" w:hAnsi="宋体" w:eastAsia="宋体" w:cs="宋体"/>
          <w:sz w:val="28"/>
          <w:szCs w:val="28"/>
        </w:rPr>
        <w:t>VOCs</w:t>
      </w:r>
      <w:r>
        <w:rPr>
          <w:rFonts w:ascii="宋体" w:hAnsi="宋体" w:eastAsia="宋体" w:cs="宋体"/>
          <w:spacing w:val="9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SVOCs</w:t>
      </w:r>
      <w:r>
        <w:rPr>
          <w:rFonts w:ascii="宋体" w:hAnsi="宋体" w:eastAsia="宋体" w:cs="宋体"/>
          <w:spacing w:val="9"/>
          <w:sz w:val="28"/>
          <w:szCs w:val="28"/>
        </w:rPr>
        <w:t>、六价铬、有机氯、有</w:t>
      </w:r>
      <w:r>
        <w:rPr>
          <w:rFonts w:ascii="宋体" w:hAnsi="宋体" w:eastAsia="宋体" w:cs="宋体"/>
          <w:spacing w:val="11"/>
          <w:sz w:val="28"/>
          <w:szCs w:val="28"/>
        </w:rPr>
        <w:t>机磷；</w:t>
      </w:r>
      <w:r>
        <w:rPr>
          <w:rFonts w:ascii="宋体" w:hAnsi="宋体" w:eastAsia="宋体" w:cs="宋体"/>
          <w:spacing w:val="7"/>
          <w:sz w:val="28"/>
          <w:szCs w:val="28"/>
        </w:rPr>
        <w:t>进行了加标验证，样品加标样的回收率符合相关标</w:t>
      </w:r>
    </w:p>
    <w:p>
      <w:pPr>
        <w:spacing w:before="1" w:line="219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准规范中的回收率控制要求，满足质控要求。</w:t>
      </w:r>
    </w:p>
    <w:p>
      <w:pPr>
        <w:spacing w:before="331" w:line="624" w:lineRule="exact"/>
        <w:ind w:right="49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position w:val="26"/>
          <w:sz w:val="28"/>
          <w:szCs w:val="28"/>
        </w:rPr>
        <w:t>④平行样品：平行双样结果的误差符合相关标准规范中的要求；所</w:t>
      </w:r>
    </w:p>
    <w:p>
      <w:pPr>
        <w:spacing w:before="1"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有控制样品检测结果的回收率均符合质控要求。</w:t>
      </w:r>
    </w:p>
    <w:p>
      <w:pPr>
        <w:pStyle w:val="3"/>
      </w:pPr>
    </w:p>
    <w:p>
      <w:pPr>
        <w:spacing w:before="91" w:line="221" w:lineRule="auto"/>
        <w:ind w:left="12"/>
        <w:outlineLvl w:val="1"/>
        <w:rPr>
          <w:rFonts w:ascii="宋体" w:hAnsi="宋体" w:eastAsia="宋体" w:cs="宋体"/>
          <w:sz w:val="28"/>
          <w:szCs w:val="28"/>
        </w:rPr>
      </w:pPr>
      <w:bookmarkStart w:id="46" w:name="_Toc29769"/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9.2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监测方案制定的质量保证与控制</w:t>
      </w:r>
      <w:bookmarkEnd w:id="46"/>
    </w:p>
    <w:p>
      <w:pPr>
        <w:spacing w:before="331" w:line="411" w:lineRule="auto"/>
        <w:ind w:left="40" w:right="57" w:firstLine="559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土壤监测方案根据《建设用地土壤污染风险管控和修</w:t>
      </w:r>
      <w:r>
        <w:rPr>
          <w:rFonts w:ascii="宋体" w:hAnsi="宋体" w:eastAsia="宋体" w:cs="宋体"/>
          <w:spacing w:val="7"/>
          <w:sz w:val="28"/>
          <w:szCs w:val="28"/>
        </w:rPr>
        <w:t>复监测技术导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则》</w:t>
      </w:r>
      <w:r>
        <w:rPr>
          <w:rFonts w:ascii="宋体" w:hAnsi="宋体" w:eastAsia="宋体" w:cs="宋体"/>
          <w:spacing w:val="-5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25.2-2019)、《土壤环</w:t>
      </w:r>
      <w:r>
        <w:rPr>
          <w:rFonts w:ascii="宋体" w:hAnsi="宋体" w:eastAsia="宋体" w:cs="宋体"/>
          <w:spacing w:val="3"/>
          <w:sz w:val="28"/>
          <w:szCs w:val="28"/>
        </w:rPr>
        <w:t>境监测技术规范》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3"/>
          <w:sz w:val="28"/>
          <w:szCs w:val="28"/>
        </w:rPr>
        <w:t>/T</w:t>
      </w:r>
      <w:r>
        <w:rPr>
          <w:rFonts w:ascii="宋体" w:hAnsi="宋体" w:eastAsia="宋体" w:cs="宋体"/>
          <w:spacing w:val="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166-2004)等</w:t>
      </w:r>
    </w:p>
    <w:p>
      <w:pPr>
        <w:spacing w:before="2" w:line="219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文件要求执行。</w:t>
      </w:r>
    </w:p>
    <w:p>
      <w:pPr>
        <w:pStyle w:val="3"/>
        <w:spacing w:line="241" w:lineRule="auto"/>
      </w:pPr>
    </w:p>
    <w:p>
      <w:pPr>
        <w:spacing w:before="91" w:line="219" w:lineRule="auto"/>
        <w:ind w:left="12"/>
        <w:outlineLvl w:val="1"/>
        <w:rPr>
          <w:rFonts w:ascii="宋体" w:hAnsi="宋体" w:eastAsia="宋体" w:cs="宋体"/>
          <w:sz w:val="28"/>
          <w:szCs w:val="28"/>
        </w:rPr>
      </w:pPr>
      <w:bookmarkStart w:id="47" w:name="_Toc30359"/>
      <w:r>
        <w:rPr>
          <w:rFonts w:ascii="宋体" w:hAnsi="宋体" w:eastAsia="宋体" w:cs="宋体"/>
          <w:spacing w:val="1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9.3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样品采集、保存、流转、制备与分析的质量保证与控制</w:t>
      </w:r>
      <w:bookmarkEnd w:id="47"/>
    </w:p>
    <w:p>
      <w:pPr>
        <w:pStyle w:val="3"/>
      </w:pPr>
    </w:p>
    <w:p>
      <w:pPr>
        <w:spacing w:before="92" w:line="219" w:lineRule="auto"/>
        <w:ind w:left="1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9.3.1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现场采样质量控制与质量保证</w:t>
      </w:r>
    </w:p>
    <w:p>
      <w:pPr>
        <w:pStyle w:val="3"/>
        <w:spacing w:line="243" w:lineRule="auto"/>
      </w:pPr>
    </w:p>
    <w:p>
      <w:pPr>
        <w:spacing w:before="91" w:line="411" w:lineRule="auto"/>
        <w:ind w:left="38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在样品的采集、保存、运输、交接等过程应建立完整的</w:t>
      </w:r>
      <w:r>
        <w:rPr>
          <w:rFonts w:ascii="宋体" w:hAnsi="宋体" w:eastAsia="宋体" w:cs="宋体"/>
          <w:spacing w:val="9"/>
          <w:sz w:val="28"/>
          <w:szCs w:val="28"/>
        </w:rPr>
        <w:t>管理程序。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为避免采样设备及外部环境条件等因素对样品产生影响，应注重现场采</w:t>
      </w:r>
    </w:p>
    <w:p>
      <w:pPr>
        <w:spacing w:before="1" w:line="219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样过程中的质量保证和质量控制。</w:t>
      </w:r>
    </w:p>
    <w:p>
      <w:pPr>
        <w:spacing w:before="332" w:line="220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(1)防止样品之间交叉污染</w:t>
      </w:r>
    </w:p>
    <w:p>
      <w:pPr>
        <w:pStyle w:val="3"/>
        <w:spacing w:line="242" w:lineRule="auto"/>
      </w:pPr>
    </w:p>
    <w:p>
      <w:pPr>
        <w:spacing w:before="91" w:line="411" w:lineRule="auto"/>
        <w:ind w:left="39" w:right="57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本次调查中，在两次钻孔之间，钻探设备进行</w:t>
      </w:r>
      <w:r>
        <w:rPr>
          <w:rFonts w:ascii="宋体" w:hAnsi="宋体" w:eastAsia="宋体" w:cs="宋体"/>
          <w:spacing w:val="7"/>
          <w:sz w:val="28"/>
          <w:szCs w:val="28"/>
        </w:rPr>
        <w:t>清洗；当同一钻孔在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不同深度采样时，对钻探设备、取样装置进行清洗；当与土壤接触的其</w:t>
      </w:r>
    </w:p>
    <w:p>
      <w:pPr>
        <w:spacing w:line="219" w:lineRule="auto"/>
        <w:ind w:left="3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他采样工具重复使用时，清洗后使用。</w:t>
      </w:r>
    </w:p>
    <w:p>
      <w:pPr>
        <w:pStyle w:val="3"/>
        <w:spacing w:line="241" w:lineRule="auto"/>
      </w:pPr>
    </w:p>
    <w:p>
      <w:pPr>
        <w:spacing w:before="91" w:line="411" w:lineRule="auto"/>
        <w:ind w:left="34" w:right="57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采样过程佩戴手套。为避免不同样品之间的交叉污染，每</w:t>
      </w:r>
      <w:r>
        <w:rPr>
          <w:rFonts w:ascii="宋体" w:hAnsi="宋体" w:eastAsia="宋体" w:cs="宋体"/>
          <w:spacing w:val="7"/>
          <w:sz w:val="28"/>
          <w:szCs w:val="28"/>
        </w:rPr>
        <w:t>次采集一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个样品更换一次手套。每采完一次样，都将采样工具用自来水清洗或卫</w:t>
      </w:r>
    </w:p>
    <w:p>
      <w:pPr>
        <w:spacing w:before="1" w:line="219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生纸擦干净以便下次使用。</w:t>
      </w:r>
    </w:p>
    <w:p>
      <w:pPr>
        <w:pStyle w:val="3"/>
        <w:spacing w:line="242" w:lineRule="auto"/>
      </w:pPr>
    </w:p>
    <w:p>
      <w:pPr>
        <w:spacing w:line="525" w:lineRule="exact"/>
      </w:pPr>
      <w:r>
        <w:rPr>
          <w:rFonts w:ascii="宋体" w:hAnsi="宋体" w:eastAsia="宋体" w:cs="宋体"/>
          <w:spacing w:val="1"/>
          <w:sz w:val="28"/>
          <w:szCs w:val="28"/>
        </w:rPr>
        <w:t>(2)采样质量控制</w:t>
      </w:r>
    </w:p>
    <w:p>
      <w:pPr>
        <w:spacing w:before="188" w:line="411" w:lineRule="auto"/>
        <w:ind w:left="33" w:right="83" w:firstLine="566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规范采样操作：采样前组织操作培训，采样中</w:t>
      </w:r>
      <w:r>
        <w:rPr>
          <w:rFonts w:ascii="宋体" w:hAnsi="宋体" w:eastAsia="宋体" w:cs="宋体"/>
          <w:spacing w:val="7"/>
          <w:sz w:val="28"/>
          <w:szCs w:val="28"/>
        </w:rPr>
        <w:t>一律按规程操作规范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采样记录：将所有必需的记录项制成表格，并逐一填写，同时做好必要</w:t>
      </w:r>
    </w:p>
    <w:p>
      <w:pPr>
        <w:spacing w:line="219" w:lineRule="auto"/>
        <w:ind w:left="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的影像记录。采样送检单必须注明填写人和核对人。</w:t>
      </w:r>
    </w:p>
    <w:p>
      <w:pPr>
        <w:pStyle w:val="3"/>
        <w:spacing w:line="243" w:lineRule="auto"/>
      </w:pPr>
    </w:p>
    <w:p>
      <w:pPr>
        <w:spacing w:before="91" w:line="411" w:lineRule="auto"/>
        <w:ind w:left="33" w:right="83" w:firstLine="56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采集质量控制样：根据《建设用地土壤污染风险管控</w:t>
      </w:r>
      <w:r>
        <w:rPr>
          <w:rFonts w:ascii="宋体" w:hAnsi="宋体" w:eastAsia="宋体" w:cs="宋体"/>
          <w:spacing w:val="7"/>
          <w:sz w:val="28"/>
          <w:szCs w:val="28"/>
        </w:rPr>
        <w:t>和修复监测技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术导则》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8"/>
          <w:sz w:val="28"/>
          <w:szCs w:val="28"/>
        </w:rPr>
        <w:t>25.2-2019)，现场采样质量控制样包括现场平行样，在采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样过程中，同种采样介质，应至少采集一个样品平行样。样品采集平行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样是从相同的点位收集并单独封装和分析的样品。根据《地块土壤和地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下水中挥发性有机物采样技术导则》</w:t>
      </w:r>
      <w:r>
        <w:rPr>
          <w:rFonts w:ascii="宋体" w:hAnsi="宋体" w:eastAsia="宋体" w:cs="宋体"/>
          <w:spacing w:val="-5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8"/>
          <w:sz w:val="28"/>
          <w:szCs w:val="28"/>
        </w:rPr>
        <w:t>1019-2019)，采集土壤样品用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于分析挥发性有机物指标时，每批次土壤样品均应采集</w:t>
      </w:r>
      <w:r>
        <w:rPr>
          <w:rFonts w:ascii="宋体" w:hAnsi="宋体" w:eastAsia="宋体" w:cs="宋体"/>
          <w:spacing w:val="6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1 个全程序空</w:t>
      </w:r>
    </w:p>
    <w:p>
      <w:pPr>
        <w:spacing w:before="1" w:line="219" w:lineRule="auto"/>
        <w:ind w:left="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白样。</w:t>
      </w:r>
    </w:p>
    <w:p>
      <w:pPr>
        <w:pStyle w:val="3"/>
        <w:spacing w:line="244" w:lineRule="auto"/>
      </w:pPr>
    </w:p>
    <w:p>
      <w:pPr>
        <w:spacing w:before="91" w:line="411" w:lineRule="auto"/>
        <w:ind w:left="33" w:right="77" w:firstLine="56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"/>
          <w:sz w:val="28"/>
          <w:szCs w:val="28"/>
        </w:rPr>
        <w:t>全程序空白样：本次调查采样前在实验室将</w:t>
      </w:r>
      <w:r>
        <w:rPr>
          <w:rFonts w:ascii="宋体" w:hAnsi="宋体" w:eastAsia="宋体" w:cs="宋体"/>
          <w:spacing w:val="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10</w:t>
      </w:r>
      <w:r>
        <w:rPr>
          <w:rFonts w:ascii="宋体" w:hAnsi="宋体" w:eastAsia="宋体" w:cs="宋体"/>
          <w:sz w:val="28"/>
          <w:szCs w:val="28"/>
        </w:rPr>
        <w:t>ml</w:t>
      </w:r>
      <w:r>
        <w:rPr>
          <w:rFonts w:ascii="宋体" w:hAnsi="宋体" w:eastAsia="宋体" w:cs="宋体"/>
          <w:spacing w:val="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甲醇(土壤样品)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6"/>
          <w:sz w:val="28"/>
          <w:szCs w:val="28"/>
        </w:rPr>
        <w:t>及二次蒸馏水作为空白试剂水放入 40</w:t>
      </w:r>
      <w:r>
        <w:rPr>
          <w:rFonts w:ascii="宋体" w:hAnsi="宋体" w:eastAsia="宋体" w:cs="宋体"/>
          <w:sz w:val="28"/>
          <w:szCs w:val="28"/>
        </w:rPr>
        <w:t>ml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样品瓶中密封，将其带到现 </w:t>
      </w:r>
      <w:r>
        <w:rPr>
          <w:rFonts w:ascii="宋体" w:hAnsi="宋体" w:eastAsia="宋体" w:cs="宋体"/>
          <w:spacing w:val="7"/>
          <w:sz w:val="28"/>
          <w:szCs w:val="28"/>
        </w:rPr>
        <w:t>场。与采样的样品瓶同时开盖和密封，随样品运回实验室，按与样品相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同的分析步骤进行处理和测定，用于检查样品采集到分析全过程是否受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到污染。本次调查每批次采集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1 个土壤程序空白样及</w:t>
      </w:r>
      <w:r>
        <w:rPr>
          <w:rFonts w:ascii="宋体" w:hAnsi="宋体" w:eastAsia="宋体" w:cs="宋体"/>
          <w:spacing w:val="5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1 个土壤程序空</w:t>
      </w:r>
    </w:p>
    <w:p>
      <w:pPr>
        <w:spacing w:before="2" w:line="219" w:lineRule="auto"/>
        <w:ind w:left="7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8"/>
          <w:szCs w:val="28"/>
        </w:rPr>
        <w:t>白样。</w:t>
      </w:r>
    </w:p>
    <w:p>
      <w:pPr>
        <w:spacing w:before="332" w:line="411" w:lineRule="auto"/>
        <w:ind w:left="33" w:firstLine="56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平行样：在采样过程中，同种采样介质，至少采集一个样品平行样，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样品采集平行样是从相同的点位收集并单独封装和分析的样品。本次调</w:t>
      </w:r>
    </w:p>
    <w:p>
      <w:pPr>
        <w:spacing w:line="219" w:lineRule="auto"/>
        <w:ind w:left="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查土壤平行样均按样品数量的</w:t>
      </w:r>
      <w:r>
        <w:rPr>
          <w:rFonts w:ascii="宋体" w:hAnsi="宋体" w:eastAsia="宋体" w:cs="宋体"/>
          <w:spacing w:val="-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10%采集。</w:t>
      </w:r>
    </w:p>
    <w:p>
      <w:pPr>
        <w:pStyle w:val="3"/>
        <w:spacing w:line="242" w:lineRule="auto"/>
      </w:pPr>
    </w:p>
    <w:p>
      <w:pPr>
        <w:spacing w:before="92" w:line="220" w:lineRule="auto"/>
        <w:ind w:left="1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9.3.2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样品运输质量控制与质量保证</w:t>
      </w:r>
    </w:p>
    <w:p>
      <w:pPr>
        <w:spacing w:before="331" w:line="624" w:lineRule="exact"/>
        <w:ind w:right="57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47"/>
          <w:position w:val="26"/>
          <w:sz w:val="28"/>
          <w:szCs w:val="28"/>
        </w:rPr>
        <w:t>根据《</w:t>
      </w:r>
      <w:r>
        <w:rPr>
          <w:rFonts w:ascii="宋体" w:hAnsi="宋体" w:eastAsia="宋体" w:cs="宋体"/>
          <w:spacing w:val="-27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7"/>
          <w:position w:val="26"/>
          <w:sz w:val="28"/>
          <w:szCs w:val="28"/>
        </w:rPr>
        <w:t>地块土壤和地下水中挥发性有机物采样技术导则</w:t>
      </w:r>
      <w:r>
        <w:rPr>
          <w:rFonts w:ascii="宋体" w:hAnsi="宋体" w:eastAsia="宋体" w:cs="宋体"/>
          <w:spacing w:val="-58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7"/>
          <w:position w:val="26"/>
          <w:sz w:val="28"/>
          <w:szCs w:val="28"/>
        </w:rPr>
        <w:t>》</w:t>
      </w:r>
    </w:p>
    <w:p>
      <w:pPr>
        <w:spacing w:before="1" w:line="218" w:lineRule="auto"/>
        <w:ind w:left="8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HJ</w:t>
      </w:r>
      <w:r>
        <w:rPr>
          <w:rFonts w:ascii="宋体" w:hAnsi="宋体" w:eastAsia="宋体" w:cs="宋体"/>
          <w:spacing w:val="9"/>
          <w:sz w:val="28"/>
          <w:szCs w:val="28"/>
        </w:rPr>
        <w:t>1019-2019)，采集土壤样品用于分析挥发性有机物指标时，每批次</w:t>
      </w:r>
    </w:p>
    <w:p>
      <w:pPr>
        <w:spacing w:line="525" w:lineRule="exact"/>
      </w:pPr>
    </w:p>
    <w:p>
      <w:pPr>
        <w:spacing w:before="187"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土壤样品均应采集一个运输空白样。</w:t>
      </w:r>
    </w:p>
    <w:p>
      <w:pPr>
        <w:pStyle w:val="3"/>
        <w:spacing w:line="242" w:lineRule="auto"/>
      </w:pPr>
    </w:p>
    <w:p>
      <w:pPr>
        <w:spacing w:before="91" w:line="411" w:lineRule="auto"/>
        <w:ind w:left="32" w:right="80" w:firstLine="567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3"/>
          <w:sz w:val="28"/>
          <w:szCs w:val="28"/>
        </w:rPr>
        <w:t>本次调查采样前在实验室将</w:t>
      </w:r>
      <w:r>
        <w:rPr>
          <w:rFonts w:ascii="宋体" w:hAnsi="宋体" w:eastAsia="宋体" w:cs="宋体"/>
          <w:spacing w:val="6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3"/>
          <w:sz w:val="28"/>
          <w:szCs w:val="28"/>
        </w:rPr>
        <w:t>10</w:t>
      </w:r>
      <w:r>
        <w:rPr>
          <w:rFonts w:ascii="宋体" w:hAnsi="宋体" w:eastAsia="宋体" w:cs="宋体"/>
          <w:sz w:val="28"/>
          <w:szCs w:val="28"/>
        </w:rPr>
        <w:t>ml</w:t>
      </w:r>
      <w:r>
        <w:rPr>
          <w:rFonts w:ascii="宋体" w:hAnsi="宋体" w:eastAsia="宋体" w:cs="宋体"/>
          <w:spacing w:val="7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3"/>
          <w:sz w:val="28"/>
          <w:szCs w:val="28"/>
        </w:rPr>
        <w:t>甲醇(土壤样品)及二</w:t>
      </w:r>
      <w:r>
        <w:rPr>
          <w:rFonts w:ascii="宋体" w:hAnsi="宋体" w:eastAsia="宋体" w:cs="宋体"/>
          <w:spacing w:val="12"/>
          <w:sz w:val="28"/>
          <w:szCs w:val="28"/>
        </w:rPr>
        <w:t>次蒸馏水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作为空白试剂水放入 40</w:t>
      </w:r>
      <w:r>
        <w:rPr>
          <w:rFonts w:ascii="宋体" w:hAnsi="宋体" w:eastAsia="宋体" w:cs="宋体"/>
          <w:sz w:val="28"/>
          <w:szCs w:val="28"/>
        </w:rPr>
        <w:t>ml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样品瓶中密封，将其带到现场。采样时使其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瓶盖一直处于密封状态，随样品运回实验室，按与样品相同的分析步骤</w:t>
      </w:r>
      <w:r>
        <w:rPr>
          <w:rFonts w:ascii="宋体" w:hAnsi="宋体" w:eastAsia="宋体" w:cs="宋体"/>
          <w:spacing w:val="1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进行处理和测定，用于检查样品运输过程中是否受到污染。本次调查每</w:t>
      </w:r>
    </w:p>
    <w:p>
      <w:pPr>
        <w:spacing w:line="219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批次采集</w:t>
      </w:r>
      <w:r>
        <w:rPr>
          <w:rFonts w:ascii="宋体" w:hAnsi="宋体" w:eastAsia="宋体" w:cs="宋体"/>
          <w:spacing w:val="6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1 个土壤运输空白样。</w:t>
      </w:r>
    </w:p>
    <w:p>
      <w:pPr>
        <w:pStyle w:val="3"/>
        <w:spacing w:line="242" w:lineRule="auto"/>
      </w:pPr>
    </w:p>
    <w:p>
      <w:pPr>
        <w:spacing w:before="91" w:line="220" w:lineRule="auto"/>
        <w:ind w:left="1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9.3.3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样品制备、分析质量控制与质量保证</w:t>
      </w:r>
    </w:p>
    <w:p>
      <w:pPr>
        <w:pStyle w:val="3"/>
      </w:pPr>
    </w:p>
    <w:p>
      <w:pPr>
        <w:spacing w:before="91" w:line="411" w:lineRule="auto"/>
        <w:ind w:left="34" w:right="80" w:firstLine="5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为保证和证明检测过程得到有效控制、检测结果准确可靠，采取相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应可行的质量控制措施对检测过程予以有效控制和评价，实验室质量保</w:t>
      </w:r>
      <w:r>
        <w:rPr>
          <w:rFonts w:ascii="宋体" w:hAnsi="宋体" w:eastAsia="宋体" w:cs="宋体"/>
          <w:spacing w:val="1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证与质量控制措施包括：内部空白检验、平行样加标检验、标准物质检</w:t>
      </w:r>
    </w:p>
    <w:p>
      <w:pPr>
        <w:spacing w:line="219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1"/>
          <w:sz w:val="28"/>
          <w:szCs w:val="28"/>
        </w:rPr>
        <w:t>验、基质加标检验、相关分析数据的准确度和精密度满</w:t>
      </w:r>
      <w:r>
        <w:rPr>
          <w:rFonts w:ascii="宋体" w:hAnsi="宋体" w:eastAsia="宋体" w:cs="宋体"/>
          <w:spacing w:val="10"/>
          <w:sz w:val="28"/>
          <w:szCs w:val="28"/>
        </w:rPr>
        <w:t>足要求等。</w:t>
      </w:r>
    </w:p>
    <w:p>
      <w:pPr>
        <w:pStyle w:val="3"/>
        <w:spacing w:line="242" w:lineRule="auto"/>
      </w:pPr>
    </w:p>
    <w:p>
      <w:pPr>
        <w:spacing w:before="92" w:line="221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(1)空白试验</w:t>
      </w:r>
    </w:p>
    <w:p>
      <w:pPr>
        <w:pStyle w:val="3"/>
        <w:spacing w:line="241" w:lineRule="auto"/>
      </w:pPr>
    </w:p>
    <w:p>
      <w:pPr>
        <w:spacing w:before="92" w:line="411" w:lineRule="auto"/>
        <w:ind w:left="33" w:firstLine="57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空白试验一般随样品分析一起做，分析测试方法有规定的，按分析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测试方法的规定进行空白试验；分析测试方法无规定的，实验室空白试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1"/>
          <w:sz w:val="28"/>
          <w:szCs w:val="28"/>
        </w:rPr>
        <w:t>验一般每批样品或每</w:t>
      </w:r>
      <w:r>
        <w:rPr>
          <w:rFonts w:ascii="宋体" w:hAnsi="宋体" w:eastAsia="宋体" w:cs="宋体"/>
          <w:spacing w:val="5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1"/>
          <w:sz w:val="28"/>
          <w:szCs w:val="28"/>
        </w:rPr>
        <w:t>20 个样品应至少做</w:t>
      </w:r>
      <w:r>
        <w:rPr>
          <w:rFonts w:ascii="宋体" w:hAnsi="宋体" w:eastAsia="宋体" w:cs="宋体"/>
          <w:spacing w:val="6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1"/>
          <w:sz w:val="28"/>
          <w:szCs w:val="28"/>
        </w:rPr>
        <w:t>1 次。空白样品分</w:t>
      </w:r>
      <w:r>
        <w:rPr>
          <w:rFonts w:ascii="宋体" w:hAnsi="宋体" w:eastAsia="宋体" w:cs="宋体"/>
          <w:spacing w:val="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1"/>
          <w:sz w:val="28"/>
          <w:szCs w:val="28"/>
        </w:rPr>
        <w:t>析结果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一般应低于方法检测限。若空白分析结果低于方法检出限，则可忽略不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计；若空白分析结果略高于方法检测限但比较稳定，可进行多次重复试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验，计算空白分析平均值并从样品分析结果中扣除；若空白分析结果明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显超过正常值，则表明分析测试过程有严重污染，样品分析结果不可靠， </w:t>
      </w:r>
      <w:r>
        <w:rPr>
          <w:rFonts w:ascii="宋体" w:hAnsi="宋体" w:eastAsia="宋体" w:cs="宋体"/>
          <w:spacing w:val="12"/>
          <w:sz w:val="28"/>
          <w:szCs w:val="28"/>
        </w:rPr>
        <w:t>实验室应查找原因并采取适当的纠正和预防 措施，重新对样品进</w:t>
      </w:r>
      <w:r>
        <w:rPr>
          <w:rFonts w:ascii="宋体" w:hAnsi="宋体" w:eastAsia="宋体" w:cs="宋体"/>
          <w:spacing w:val="11"/>
          <w:sz w:val="28"/>
          <w:szCs w:val="28"/>
        </w:rPr>
        <w:t>行分</w:t>
      </w:r>
    </w:p>
    <w:p>
      <w:pPr>
        <w:spacing w:before="1" w:line="220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析。</w:t>
      </w:r>
    </w:p>
    <w:p>
      <w:pPr>
        <w:spacing w:before="332" w:line="221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(2)校准曲线</w:t>
      </w:r>
    </w:p>
    <w:p>
      <w:pPr>
        <w:spacing w:line="525" w:lineRule="exact"/>
      </w:pPr>
    </w:p>
    <w:p>
      <w:pPr>
        <w:spacing w:before="188" w:line="411" w:lineRule="auto"/>
        <w:ind w:left="41" w:right="77"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分析仪器校准选用有证标准物质，外购有证标准</w:t>
      </w:r>
      <w:r>
        <w:rPr>
          <w:rFonts w:ascii="宋体" w:hAnsi="宋体" w:eastAsia="宋体" w:cs="宋体"/>
          <w:spacing w:val="7"/>
          <w:sz w:val="28"/>
          <w:szCs w:val="28"/>
        </w:rPr>
        <w:t>溶液核查其证书有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9"/>
          <w:sz w:val="28"/>
          <w:szCs w:val="28"/>
        </w:rPr>
        <w:t>效期</w:t>
      </w:r>
      <w:r>
        <w:rPr>
          <w:rFonts w:ascii="宋体" w:hAnsi="宋体" w:eastAsia="宋体" w:cs="宋体"/>
          <w:spacing w:val="-7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9"/>
          <w:sz w:val="28"/>
          <w:szCs w:val="28"/>
        </w:rPr>
        <w:t>。但当没有合适有证标准物质时，也可用纯度较高(一般不低于</w:t>
      </w:r>
    </w:p>
    <w:p>
      <w:pPr>
        <w:spacing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98%)、性质稳定的化学试剂直接配制仪器校准用标准溶</w:t>
      </w:r>
      <w:r>
        <w:rPr>
          <w:rFonts w:ascii="宋体" w:hAnsi="宋体" w:eastAsia="宋体" w:cs="宋体"/>
          <w:spacing w:val="9"/>
          <w:sz w:val="28"/>
          <w:szCs w:val="28"/>
        </w:rPr>
        <w:t>液。</w:t>
      </w:r>
    </w:p>
    <w:p>
      <w:pPr>
        <w:pStyle w:val="3"/>
        <w:spacing w:line="241" w:lineRule="auto"/>
      </w:pPr>
    </w:p>
    <w:p>
      <w:pPr>
        <w:spacing w:before="91" w:line="411" w:lineRule="auto"/>
        <w:ind w:left="37" w:right="77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至少 5 个浓度梯度的标准溶液(除空白外)，覆盖</w:t>
      </w:r>
      <w:r>
        <w:rPr>
          <w:rFonts w:ascii="宋体" w:hAnsi="宋体" w:eastAsia="宋体" w:cs="宋体"/>
          <w:spacing w:val="11"/>
          <w:sz w:val="28"/>
          <w:szCs w:val="28"/>
        </w:rPr>
        <w:t>被测样品的浓度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范围，且最低点浓度应处于接近方法测定下限的水平。一般要求曲线系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数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r&gt;0.999，当分析测试方法有相关规定时，应执行分析测试方法的规</w:t>
      </w:r>
    </w:p>
    <w:p>
      <w:pPr>
        <w:spacing w:line="219" w:lineRule="auto"/>
        <w:ind w:left="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定，并采用离子电极、分光光度计测量斜率和截距。</w:t>
      </w:r>
    </w:p>
    <w:p>
      <w:pPr>
        <w:pStyle w:val="3"/>
        <w:spacing w:line="242" w:lineRule="auto"/>
      </w:pPr>
    </w:p>
    <w:p>
      <w:pPr>
        <w:spacing w:before="91" w:line="220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2"/>
          <w:sz w:val="28"/>
          <w:szCs w:val="28"/>
        </w:rPr>
        <w:t>(3)仪器稳定性检查</w:t>
      </w:r>
    </w:p>
    <w:p>
      <w:pPr>
        <w:pStyle w:val="3"/>
        <w:spacing w:line="242" w:lineRule="auto"/>
      </w:pPr>
    </w:p>
    <w:p>
      <w:pPr>
        <w:spacing w:before="91" w:line="411" w:lineRule="auto"/>
        <w:ind w:left="33" w:right="77" w:firstLine="5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每分析 20 个样品，应测定一次校准曲线中间浓度点，确认分析仪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器灵敏度变化与绘制校准曲线时的灵敏度差别。原则上，无机项目的相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对偏差应控制在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10%以内，有机项目的相对偏差应控制在</w:t>
      </w:r>
      <w:r>
        <w:rPr>
          <w:rFonts w:ascii="宋体" w:hAnsi="宋体" w:eastAsia="宋体" w:cs="宋体"/>
          <w:spacing w:val="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20%</w:t>
      </w:r>
      <w:r>
        <w:rPr>
          <w:rFonts w:ascii="宋体" w:hAnsi="宋体" w:eastAsia="宋体" w:cs="宋体"/>
          <w:spacing w:val="6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以内；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当分析测试方法有相关规定时，优先执行分析测试方法的规定。超过规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定范围时需要查明原因，重新绘制校准曲线，并重新分析测试该批次全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3"/>
          <w:sz w:val="28"/>
          <w:szCs w:val="28"/>
        </w:rPr>
        <w:t>部样品。当用混合标准溶液做校准曲线校核时，单次分析不得有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3"/>
          <w:sz w:val="28"/>
          <w:szCs w:val="28"/>
        </w:rPr>
        <w:t>5%以</w:t>
      </w:r>
    </w:p>
    <w:p>
      <w:pPr>
        <w:spacing w:before="2" w:line="219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上的检测项目超过规定的相对偏差。</w:t>
      </w:r>
    </w:p>
    <w:p>
      <w:pPr>
        <w:pStyle w:val="3"/>
        <w:spacing w:line="241" w:lineRule="auto"/>
      </w:pPr>
    </w:p>
    <w:p>
      <w:pPr>
        <w:spacing w:before="91" w:line="219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(4)精密度控制</w:t>
      </w:r>
    </w:p>
    <w:p>
      <w:pPr>
        <w:pStyle w:val="3"/>
        <w:spacing w:line="241" w:lineRule="auto"/>
      </w:pPr>
    </w:p>
    <w:p>
      <w:pPr>
        <w:spacing w:before="91" w:line="411" w:lineRule="auto"/>
        <w:ind w:left="58" w:right="77" w:firstLine="54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分别针对不同的检测环节(样品采集、样品制备、样品前处理和样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1"/>
          <w:sz w:val="28"/>
          <w:szCs w:val="28"/>
        </w:rPr>
        <w:t>品检测等)，实施不同的平行样品检测，以控制和评价相关检测环节或</w:t>
      </w:r>
    </w:p>
    <w:p>
      <w:pPr>
        <w:spacing w:before="1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过程的精密度情况。每批样品均应做一定比例的明码或密码平</w:t>
      </w:r>
      <w:r>
        <w:rPr>
          <w:rFonts w:ascii="宋体" w:hAnsi="宋体" w:eastAsia="宋体" w:cs="宋体"/>
          <w:spacing w:val="9"/>
          <w:sz w:val="28"/>
          <w:szCs w:val="28"/>
        </w:rPr>
        <w:t>行双样。</w:t>
      </w:r>
    </w:p>
    <w:p>
      <w:pPr>
        <w:pStyle w:val="3"/>
        <w:spacing w:line="243" w:lineRule="auto"/>
      </w:pPr>
    </w:p>
    <w:p>
      <w:pPr>
        <w:spacing w:before="91" w:line="411" w:lineRule="auto"/>
        <w:ind w:left="33" w:firstLine="5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每批样品分析时，每个检测项目(除挥发性有机物外)均须做平行双</w:t>
      </w:r>
      <w:r>
        <w:rPr>
          <w:rFonts w:ascii="宋体" w:hAnsi="宋体" w:eastAsia="宋体" w:cs="宋体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样分析。当批分析样品数≥20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个时，应随</w:t>
      </w:r>
      <w:r>
        <w:rPr>
          <w:rFonts w:ascii="宋体" w:hAnsi="宋体" w:eastAsia="宋体" w:cs="宋体"/>
          <w:spacing w:val="3"/>
          <w:sz w:val="28"/>
          <w:szCs w:val="28"/>
        </w:rPr>
        <w:t>机抽取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5%的样品做平行分析；</w:t>
      </w:r>
    </w:p>
    <w:p>
      <w:pPr>
        <w:spacing w:before="1" w:line="219" w:lineRule="auto"/>
        <w:ind w:left="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当批样品数＜20</w:t>
      </w:r>
      <w:r>
        <w:rPr>
          <w:rFonts w:ascii="宋体" w:hAnsi="宋体" w:eastAsia="宋体" w:cs="宋体"/>
          <w:spacing w:val="-3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个时，应至少随机抽取</w:t>
      </w:r>
      <w:r>
        <w:rPr>
          <w:rFonts w:ascii="宋体" w:hAnsi="宋体" w:eastAsia="宋体" w:cs="宋体"/>
          <w:spacing w:val="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1 个样品做平行分析。</w:t>
      </w:r>
    </w:p>
    <w:p>
      <w:pPr>
        <w:spacing w:line="525" w:lineRule="exact"/>
      </w:pPr>
    </w:p>
    <w:p>
      <w:pPr>
        <w:spacing w:before="188" w:line="411" w:lineRule="auto"/>
        <w:ind w:left="38" w:right="102" w:firstLine="5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平行双样分析的相对偏差</w:t>
      </w:r>
      <w:r>
        <w:rPr>
          <w:rFonts w:ascii="宋体" w:hAnsi="宋体" w:eastAsia="宋体" w:cs="宋体"/>
          <w:spacing w:val="8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sz w:val="28"/>
          <w:szCs w:val="28"/>
        </w:rPr>
        <w:t>(</w:t>
      </w:r>
      <w:r>
        <w:rPr>
          <w:rFonts w:ascii="宋体" w:hAnsi="宋体" w:eastAsia="宋体" w:cs="宋体"/>
          <w:sz w:val="28"/>
          <w:szCs w:val="28"/>
        </w:rPr>
        <w:t>RD</w:t>
      </w:r>
      <w:r>
        <w:rPr>
          <w:rFonts w:ascii="宋体" w:hAnsi="宋体" w:eastAsia="宋体" w:cs="宋体"/>
          <w:spacing w:val="5"/>
          <w:sz w:val="28"/>
          <w:szCs w:val="28"/>
        </w:rPr>
        <w:t>) 在允许范围内为合格。当平行双样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7"/>
          <w:sz w:val="28"/>
          <w:szCs w:val="28"/>
        </w:rPr>
        <w:t>分析合格率小于</w:t>
      </w:r>
      <w:r>
        <w:rPr>
          <w:rFonts w:ascii="宋体" w:hAnsi="宋体" w:eastAsia="宋体" w:cs="宋体"/>
          <w:spacing w:val="-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7"/>
          <w:sz w:val="28"/>
          <w:szCs w:val="28"/>
        </w:rPr>
        <w:t>95%时，除对不合格结果重新分析测试外，应再增加</w:t>
      </w:r>
    </w:p>
    <w:p>
      <w:pPr>
        <w:spacing w:before="1" w:line="219" w:lineRule="auto"/>
        <w:ind w:left="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5%-15%的平行双样分析比例，直至总合格率</w:t>
      </w:r>
      <w:r>
        <w:rPr>
          <w:rFonts w:ascii="宋体" w:hAnsi="宋体" w:eastAsia="宋体" w:cs="宋体"/>
          <w:spacing w:val="7"/>
          <w:sz w:val="28"/>
          <w:szCs w:val="28"/>
        </w:rPr>
        <w:t>达到</w:t>
      </w:r>
      <w:r>
        <w:rPr>
          <w:rFonts w:ascii="宋体" w:hAnsi="宋体" w:eastAsia="宋体" w:cs="宋体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95%。</w:t>
      </w:r>
    </w:p>
    <w:p>
      <w:pPr>
        <w:spacing w:before="330" w:line="221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(5)准确度控制</w:t>
      </w:r>
    </w:p>
    <w:p>
      <w:pPr>
        <w:spacing w:before="332" w:line="624" w:lineRule="exact"/>
        <w:ind w:left="59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position w:val="26"/>
          <w:sz w:val="28"/>
          <w:szCs w:val="28"/>
        </w:rPr>
        <w:t>采用加标回收率检测或质控样检测等方法进行准确度</w:t>
      </w:r>
      <w:r>
        <w:rPr>
          <w:rFonts w:ascii="宋体" w:hAnsi="宋体" w:eastAsia="宋体" w:cs="宋体"/>
          <w:spacing w:val="7"/>
          <w:position w:val="26"/>
          <w:sz w:val="28"/>
          <w:szCs w:val="28"/>
        </w:rPr>
        <w:t>控制，检测方</w:t>
      </w:r>
    </w:p>
    <w:p>
      <w:pPr>
        <w:spacing w:before="1"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法包括明码样和密码样。</w:t>
      </w:r>
    </w:p>
    <w:p>
      <w:pPr>
        <w:pStyle w:val="3"/>
        <w:spacing w:line="244" w:lineRule="auto"/>
      </w:pPr>
    </w:p>
    <w:p>
      <w:pPr>
        <w:spacing w:before="92" w:line="411" w:lineRule="auto"/>
        <w:ind w:left="32" w:firstLine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 xml:space="preserve">1)加标回收：除悬浮物、碱度、溶解性总固体、容量分析项目外的 </w:t>
      </w:r>
      <w:r>
        <w:rPr>
          <w:rFonts w:ascii="宋体" w:hAnsi="宋体" w:eastAsia="宋体" w:cs="宋体"/>
          <w:spacing w:val="7"/>
          <w:sz w:val="28"/>
          <w:szCs w:val="28"/>
        </w:rPr>
        <w:t>项目，每批样品随机抽取</w:t>
      </w:r>
      <w:r>
        <w:rPr>
          <w:rFonts w:ascii="宋体" w:hAnsi="宋体" w:eastAsia="宋体" w:cs="宋体"/>
          <w:spacing w:val="-1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10%样品做加标回收，水样加标量相当于待测 </w:t>
      </w:r>
      <w:r>
        <w:rPr>
          <w:rFonts w:ascii="宋体" w:hAnsi="宋体" w:eastAsia="宋体" w:cs="宋体"/>
          <w:spacing w:val="4"/>
          <w:sz w:val="28"/>
          <w:szCs w:val="28"/>
        </w:rPr>
        <w:t>组分浓度的 0.5-2.5 倍为宜，加标总浓度不应大于方法上限的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0.</w:t>
      </w:r>
      <w:r>
        <w:rPr>
          <w:rFonts w:ascii="宋体" w:hAnsi="宋体" w:eastAsia="宋体" w:cs="宋体"/>
          <w:spacing w:val="3"/>
          <w:sz w:val="28"/>
          <w:szCs w:val="28"/>
        </w:rPr>
        <w:t>9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倍。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如待测组分浓度小于最低检出限时，按最低检出浓度的 3-5 倍进行加 标。土壤加标量为待测组分的</w:t>
      </w:r>
      <w:r>
        <w:rPr>
          <w:rFonts w:ascii="宋体" w:hAnsi="宋体" w:eastAsia="宋体" w:cs="宋体"/>
          <w:spacing w:val="-4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0.5-1.0</w:t>
      </w:r>
      <w:r>
        <w:rPr>
          <w:rFonts w:ascii="宋体" w:hAnsi="宋体" w:eastAsia="宋体" w:cs="宋体"/>
          <w:spacing w:val="-4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倍为宜，含量低</w:t>
      </w:r>
      <w:r>
        <w:rPr>
          <w:rFonts w:ascii="宋体" w:hAnsi="宋体" w:eastAsia="宋体" w:cs="宋体"/>
          <w:spacing w:val="9"/>
          <w:sz w:val="28"/>
          <w:szCs w:val="28"/>
        </w:rPr>
        <w:t>的加 2-3 倍，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但加标后被测组分的总量不得超出方法的测定上限。加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标浓度宜高，体 </w:t>
      </w:r>
      <w:r>
        <w:rPr>
          <w:rFonts w:ascii="宋体" w:hAnsi="宋体" w:eastAsia="宋体" w:cs="宋体"/>
          <w:spacing w:val="12"/>
          <w:sz w:val="28"/>
          <w:szCs w:val="28"/>
        </w:rPr>
        <w:t>积应小，不应超过原试样体积的</w:t>
      </w:r>
      <w:r>
        <w:rPr>
          <w:rFonts w:ascii="宋体" w:hAnsi="宋体" w:eastAsia="宋体" w:cs="宋体"/>
          <w:spacing w:val="-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2"/>
          <w:sz w:val="28"/>
          <w:szCs w:val="28"/>
        </w:rPr>
        <w:t>1%，否则应进行体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积校正。土壤：加 </w:t>
      </w:r>
      <w:r>
        <w:rPr>
          <w:rFonts w:ascii="宋体" w:hAnsi="宋体" w:eastAsia="宋体" w:cs="宋体"/>
          <w:spacing w:val="8"/>
          <w:sz w:val="28"/>
          <w:szCs w:val="28"/>
        </w:rPr>
        <w:t>标回收率应在其允许范围内。当加标回收率合格率小</w:t>
      </w:r>
      <w:r>
        <w:rPr>
          <w:rFonts w:ascii="宋体" w:hAnsi="宋体" w:eastAsia="宋体" w:cs="宋体"/>
          <w:spacing w:val="7"/>
          <w:sz w:val="28"/>
          <w:szCs w:val="28"/>
        </w:rPr>
        <w:t>于</w:t>
      </w:r>
      <w:r>
        <w:rPr>
          <w:rFonts w:ascii="宋体" w:hAnsi="宋体" w:eastAsia="宋体" w:cs="宋体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70%时，对不合 </w:t>
      </w:r>
      <w:r>
        <w:rPr>
          <w:rFonts w:ascii="宋体" w:hAnsi="宋体" w:eastAsia="宋体" w:cs="宋体"/>
          <w:spacing w:val="8"/>
          <w:sz w:val="28"/>
          <w:szCs w:val="28"/>
        </w:rPr>
        <w:t>格者重新进行加标回收率的测定，并另增加</w:t>
      </w:r>
      <w:r>
        <w:rPr>
          <w:rFonts w:ascii="宋体" w:hAnsi="宋体" w:eastAsia="宋体" w:cs="宋体"/>
          <w:spacing w:val="-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8"/>
          <w:sz w:val="28"/>
          <w:szCs w:val="28"/>
        </w:rPr>
        <w:t>1</w:t>
      </w:r>
      <w:r>
        <w:rPr>
          <w:rFonts w:ascii="宋体" w:hAnsi="宋体" w:eastAsia="宋体" w:cs="宋体"/>
          <w:spacing w:val="7"/>
          <w:sz w:val="28"/>
          <w:szCs w:val="28"/>
        </w:rPr>
        <w:t>0%-20%的试样加标回收测</w:t>
      </w:r>
    </w:p>
    <w:p>
      <w:pPr>
        <w:spacing w:before="1" w:line="219" w:lineRule="auto"/>
        <w:ind w:left="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定，直至总合格率大于或等于</w:t>
      </w:r>
      <w:r>
        <w:rPr>
          <w:rFonts w:ascii="宋体" w:hAnsi="宋体" w:eastAsia="宋体" w:cs="宋体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70%以上。</w:t>
      </w:r>
    </w:p>
    <w:p>
      <w:pPr>
        <w:pStyle w:val="3"/>
        <w:spacing w:line="242" w:lineRule="auto"/>
      </w:pPr>
    </w:p>
    <w:p>
      <w:pPr>
        <w:spacing w:before="92" w:line="411" w:lineRule="auto"/>
        <w:ind w:left="34" w:right="102" w:firstLine="56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2)质控样(有证标准物质或已知浓度质控样)：对容量法分析和不宜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加标回收的项目，每批样品带质控样</w:t>
      </w:r>
      <w:r>
        <w:rPr>
          <w:rFonts w:ascii="宋体" w:hAnsi="宋体" w:eastAsia="宋体" w:cs="宋体"/>
          <w:spacing w:val="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1-2 个，或定期带</w:t>
      </w:r>
      <w:r>
        <w:rPr>
          <w:rFonts w:ascii="宋体" w:hAnsi="宋体" w:eastAsia="宋体" w:cs="宋体"/>
          <w:spacing w:val="9"/>
          <w:sz w:val="28"/>
          <w:szCs w:val="28"/>
        </w:rPr>
        <w:t>质控样。如果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实验室自行配制质控样，须与国家标准物质比对，但不得使用与绘制校</w:t>
      </w:r>
    </w:p>
    <w:p>
      <w:pPr>
        <w:spacing w:before="1" w:line="220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准曲线相同的标准溶液，必须另行配制。</w:t>
      </w:r>
    </w:p>
    <w:p>
      <w:pPr>
        <w:spacing w:before="331" w:line="624" w:lineRule="exact"/>
        <w:ind w:left="6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3"/>
          <w:position w:val="26"/>
          <w:sz w:val="28"/>
          <w:szCs w:val="28"/>
        </w:rPr>
        <w:t>质控样测定结果的评价：有证标准物质在其规</w:t>
      </w:r>
      <w:r>
        <w:rPr>
          <w:rFonts w:ascii="宋体" w:hAnsi="宋体" w:eastAsia="宋体" w:cs="宋体"/>
          <w:spacing w:val="12"/>
          <w:position w:val="26"/>
          <w:sz w:val="28"/>
          <w:szCs w:val="28"/>
        </w:rPr>
        <w:t>定范围或</w:t>
      </w:r>
      <w:r>
        <w:rPr>
          <w:rFonts w:ascii="宋体" w:hAnsi="宋体" w:eastAsia="宋体" w:cs="宋体"/>
          <w:spacing w:val="-40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2"/>
          <w:position w:val="26"/>
          <w:sz w:val="28"/>
          <w:szCs w:val="28"/>
        </w:rPr>
        <w:t>95%-105%</w:t>
      </w:r>
    </w:p>
    <w:p>
      <w:pPr>
        <w:spacing w:line="219" w:lineRule="auto"/>
        <w:ind w:left="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范围内为合格；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已知浓度质控样在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</w:rPr>
        <w:t>90%-11</w:t>
      </w:r>
      <w:r>
        <w:rPr>
          <w:rFonts w:ascii="宋体" w:hAnsi="宋体" w:eastAsia="宋体" w:cs="宋体"/>
          <w:spacing w:val="9"/>
          <w:sz w:val="28"/>
          <w:szCs w:val="28"/>
        </w:rPr>
        <w:t>0%范围内为合格；痕量有机</w:t>
      </w:r>
    </w:p>
    <w:p>
      <w:pPr>
        <w:spacing w:line="525" w:lineRule="exact"/>
      </w:pPr>
    </w:p>
    <w:p>
      <w:pPr>
        <w:spacing w:before="186" w:line="665" w:lineRule="exact"/>
        <w:ind w:left="3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position w:val="29"/>
          <w:sz w:val="28"/>
          <w:szCs w:val="28"/>
        </w:rPr>
        <w:t>物在</w:t>
      </w:r>
      <w:r>
        <w:rPr>
          <w:rFonts w:ascii="宋体" w:hAnsi="宋体" w:eastAsia="宋体" w:cs="宋体"/>
          <w:spacing w:val="-31"/>
          <w:position w:val="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position w:val="29"/>
          <w:sz w:val="28"/>
          <w:szCs w:val="28"/>
        </w:rPr>
        <w:t>60%-140%范围内为合格。</w:t>
      </w:r>
    </w:p>
    <w:p>
      <w:pPr>
        <w:spacing w:before="1" w:line="219" w:lineRule="auto"/>
        <w:ind w:left="6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(6)异常样品复检</w:t>
      </w:r>
    </w:p>
    <w:p>
      <w:pPr>
        <w:pStyle w:val="3"/>
        <w:spacing w:line="241" w:lineRule="auto"/>
      </w:pPr>
    </w:p>
    <w:p>
      <w:pPr>
        <w:spacing w:before="91" w:line="624" w:lineRule="exact"/>
        <w:ind w:right="17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1"/>
          <w:position w:val="26"/>
          <w:sz w:val="28"/>
          <w:szCs w:val="28"/>
        </w:rPr>
        <w:t>检测人员应对原始数据和复制数据进行校核。对发</w:t>
      </w:r>
      <w:r>
        <w:rPr>
          <w:rFonts w:ascii="宋体" w:hAnsi="宋体" w:eastAsia="宋体" w:cs="宋体"/>
          <w:spacing w:val="10"/>
          <w:position w:val="26"/>
          <w:sz w:val="28"/>
          <w:szCs w:val="28"/>
        </w:rPr>
        <w:t>现的可疑数据，</w:t>
      </w:r>
    </w:p>
    <w:p>
      <w:pPr>
        <w:spacing w:before="1" w:line="219" w:lineRule="auto"/>
        <w:ind w:left="3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应与样品分析测试原始记录进行校对。</w:t>
      </w:r>
    </w:p>
    <w:p>
      <w:pPr>
        <w:pStyle w:val="3"/>
        <w:spacing w:line="241" w:lineRule="auto"/>
      </w:pPr>
    </w:p>
    <w:p>
      <w:pPr>
        <w:spacing w:before="91" w:line="411" w:lineRule="auto"/>
        <w:ind w:left="37" w:firstLine="5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7"/>
          <w:sz w:val="28"/>
          <w:szCs w:val="28"/>
        </w:rPr>
        <w:t>分析测试原始记录应有检测人员和审核人员的签名。检测人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员负责 </w:t>
      </w:r>
      <w:r>
        <w:rPr>
          <w:rFonts w:ascii="宋体" w:hAnsi="宋体" w:eastAsia="宋体" w:cs="宋体"/>
          <w:spacing w:val="7"/>
          <w:sz w:val="28"/>
          <w:szCs w:val="28"/>
        </w:rPr>
        <w:t>填写原始记录；审核人员应检查数据记录是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否完整、抄写或录入计算机 </w:t>
      </w:r>
      <w:r>
        <w:rPr>
          <w:rFonts w:ascii="宋体" w:hAnsi="宋体" w:eastAsia="宋体" w:cs="宋体"/>
          <w:spacing w:val="2"/>
          <w:sz w:val="28"/>
          <w:szCs w:val="28"/>
        </w:rPr>
        <w:t>时是否有误、数据是否异常等，并考虑以下</w:t>
      </w:r>
      <w:r>
        <w:rPr>
          <w:rFonts w:ascii="宋体" w:hAnsi="宋体" w:eastAsia="宋体" w:cs="宋体"/>
          <w:spacing w:val="1"/>
          <w:sz w:val="28"/>
          <w:szCs w:val="28"/>
        </w:rPr>
        <w:t>因素：分析方法、分析条件、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7"/>
          <w:sz w:val="28"/>
          <w:szCs w:val="28"/>
        </w:rPr>
        <w:t>数据的有效位数、数据计算和处理过程、法定计量单位和质量控制数据</w:t>
      </w:r>
    </w:p>
    <w:p>
      <w:pPr>
        <w:spacing w:before="2" w:line="219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</w:rPr>
        <w:t>等。</w:t>
      </w:r>
    </w:p>
    <w:p>
      <w:pPr>
        <w:spacing w:before="316" w:line="225" w:lineRule="auto"/>
        <w:ind w:left="36"/>
        <w:outlineLvl w:val="0"/>
        <w:rPr>
          <w:rFonts w:ascii="宋体" w:hAnsi="宋体" w:eastAsia="宋体" w:cs="宋体"/>
          <w:sz w:val="31"/>
          <w:szCs w:val="31"/>
        </w:rPr>
      </w:pPr>
      <w:bookmarkStart w:id="48" w:name="_Toc21566"/>
      <w:r>
        <w:rPr>
          <w:rFonts w:ascii="宋体" w:hAnsi="宋体" w:eastAsia="宋体" w:cs="宋体"/>
          <w:spacing w:val="8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10</w:t>
      </w:r>
      <w:r>
        <w:rPr>
          <w:rFonts w:ascii="宋体" w:hAnsi="宋体" w:eastAsia="宋体" w:cs="宋体"/>
          <w:spacing w:val="5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8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结论与措施</w:t>
      </w:r>
      <w:bookmarkEnd w:id="48"/>
    </w:p>
    <w:p>
      <w:pPr>
        <w:spacing w:before="305" w:line="221" w:lineRule="auto"/>
        <w:ind w:left="31"/>
        <w:outlineLvl w:val="1"/>
        <w:rPr>
          <w:rFonts w:ascii="宋体" w:hAnsi="宋体" w:eastAsia="宋体" w:cs="宋体"/>
          <w:sz w:val="28"/>
          <w:szCs w:val="28"/>
        </w:rPr>
      </w:pPr>
      <w:bookmarkStart w:id="49" w:name="_Toc27267"/>
      <w:r>
        <w:rPr>
          <w:rFonts w:ascii="宋体" w:hAnsi="宋体" w:eastAsia="宋体" w:cs="宋体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10.1</w:t>
      </w:r>
      <w:r>
        <w:rPr>
          <w:rFonts w:ascii="宋体" w:hAnsi="宋体" w:eastAsia="宋体" w:cs="宋体"/>
          <w:spacing w:val="4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监测结论</w:t>
      </w:r>
      <w:bookmarkEnd w:id="49"/>
    </w:p>
    <w:p>
      <w:pPr>
        <w:spacing w:before="331" w:line="624" w:lineRule="exact"/>
        <w:ind w:firstLine="60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position w:val="26"/>
          <w:sz w:val="28"/>
          <w:szCs w:val="28"/>
        </w:rPr>
        <w:t>本次甘肃</w:t>
      </w:r>
      <w:r>
        <w:rPr>
          <w:rFonts w:hint="eastAsia" w:ascii="宋体" w:hAnsi="宋体" w:eastAsia="宋体" w:cs="宋体"/>
          <w:spacing w:val="10"/>
          <w:position w:val="26"/>
          <w:sz w:val="28"/>
          <w:szCs w:val="28"/>
          <w:lang w:val="en-US" w:eastAsia="zh-CN"/>
        </w:rPr>
        <w:t>盛诺医药科技</w:t>
      </w:r>
      <w:r>
        <w:rPr>
          <w:rFonts w:ascii="宋体" w:hAnsi="宋体" w:eastAsia="宋体" w:cs="宋体"/>
          <w:spacing w:val="10"/>
          <w:position w:val="26"/>
          <w:sz w:val="28"/>
          <w:szCs w:val="28"/>
        </w:rPr>
        <w:t>有限公司</w:t>
      </w:r>
      <w:r>
        <w:rPr>
          <w:rFonts w:ascii="宋体" w:hAnsi="宋体" w:eastAsia="宋体" w:cs="宋体"/>
          <w:spacing w:val="-27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position w:val="26"/>
          <w:sz w:val="28"/>
          <w:szCs w:val="28"/>
        </w:rPr>
        <w:t>202</w:t>
      </w:r>
      <w:r>
        <w:rPr>
          <w:rFonts w:hint="eastAsia" w:ascii="宋体" w:hAnsi="宋体" w:eastAsia="宋体" w:cs="宋体"/>
          <w:spacing w:val="10"/>
          <w:position w:val="26"/>
          <w:sz w:val="28"/>
          <w:szCs w:val="28"/>
          <w:lang w:val="en-US" w:eastAsia="zh-CN"/>
        </w:rPr>
        <w:t>5</w:t>
      </w:r>
      <w:r>
        <w:rPr>
          <w:rFonts w:ascii="宋体" w:hAnsi="宋体" w:eastAsia="宋体" w:cs="宋体"/>
          <w:spacing w:val="-47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position w:val="26"/>
          <w:sz w:val="28"/>
          <w:szCs w:val="28"/>
        </w:rPr>
        <w:t>年企业自测土壤和地下水监测结果均符合相关规范标准要求。</w:t>
      </w:r>
    </w:p>
    <w:p>
      <w:pPr>
        <w:spacing w:before="331" w:line="219" w:lineRule="auto"/>
        <w:ind w:left="31"/>
        <w:outlineLvl w:val="1"/>
        <w:rPr>
          <w:rFonts w:ascii="宋体" w:hAnsi="宋体" w:eastAsia="宋体" w:cs="宋体"/>
          <w:sz w:val="28"/>
          <w:szCs w:val="28"/>
        </w:rPr>
      </w:pPr>
      <w:bookmarkStart w:id="50" w:name="_Toc17210"/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10.2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企业针对监测结果拟采取的主要措施及原因</w:t>
      </w:r>
      <w:bookmarkEnd w:id="50"/>
    </w:p>
    <w:p>
      <w:pPr>
        <w:pStyle w:val="3"/>
        <w:spacing w:line="242" w:lineRule="auto"/>
      </w:pPr>
    </w:p>
    <w:p>
      <w:pPr>
        <w:spacing w:before="91" w:line="220" w:lineRule="auto"/>
        <w:ind w:left="61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1、企业应定期通过有效性审核，并加强运行维护管理。</w:t>
      </w:r>
    </w:p>
    <w:p>
      <w:pPr>
        <w:spacing w:before="331" w:line="624" w:lineRule="exact"/>
        <w:ind w:left="6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3"/>
          <w:position w:val="26"/>
          <w:sz w:val="28"/>
          <w:szCs w:val="28"/>
        </w:rPr>
        <w:t>2、企业加强日常监督管理，做好环保设施安全稳定</w:t>
      </w:r>
      <w:r>
        <w:rPr>
          <w:rFonts w:ascii="宋体" w:hAnsi="宋体" w:eastAsia="宋体" w:cs="宋体"/>
          <w:spacing w:val="12"/>
          <w:position w:val="26"/>
          <w:sz w:val="28"/>
          <w:szCs w:val="28"/>
        </w:rPr>
        <w:t>运行工作，确</w:t>
      </w:r>
    </w:p>
    <w:p>
      <w:pPr>
        <w:spacing w:before="2" w:line="219" w:lineRule="auto"/>
        <w:ind w:left="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保污染物稳定达标排放；</w:t>
      </w:r>
    </w:p>
    <w:p>
      <w:pPr>
        <w:pStyle w:val="3"/>
        <w:spacing w:line="241" w:lineRule="auto"/>
      </w:pPr>
    </w:p>
    <w:p>
      <w:pPr>
        <w:spacing w:before="91" w:line="220" w:lineRule="auto"/>
        <w:ind w:left="60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0"/>
          <w:sz w:val="28"/>
          <w:szCs w:val="28"/>
        </w:rPr>
        <w:t>3、做好排污口规范化整治，完善排污口档案</w:t>
      </w:r>
    </w:p>
    <w:p>
      <w:pPr>
        <w:spacing w:before="1" w:line="219" w:lineRule="auto"/>
        <w:ind w:left="10"/>
        <w:rPr>
          <w:rFonts w:ascii="宋体" w:hAnsi="宋体" w:eastAsia="宋体" w:cs="宋体"/>
          <w:sz w:val="28"/>
          <w:szCs w:val="28"/>
        </w:rPr>
        <w:sectPr>
          <w:footerReference r:id="rId12" w:type="default"/>
          <w:pgSz w:w="11906" w:h="16839"/>
          <w:pgMar w:top="1118" w:right="576" w:bottom="522" w:left="1414" w:header="0" w:footer="308" w:gutter="0"/>
          <w:pgNumType w:fmt="decimal"/>
          <w:cols w:space="720" w:num="1"/>
        </w:sectPr>
      </w:pPr>
    </w:p>
    <w:p>
      <w:pPr>
        <w:spacing w:line="525" w:lineRule="exact"/>
      </w:pPr>
      <w:bookmarkStart w:id="51" w:name="bookmark40"/>
      <w:bookmarkEnd w:id="51"/>
      <w:bookmarkStart w:id="52" w:name="bookmark41"/>
      <w:bookmarkEnd w:id="52"/>
    </w:p>
    <w:p>
      <w:pPr>
        <w:spacing w:before="168" w:line="224" w:lineRule="auto"/>
        <w:ind w:left="36"/>
        <w:outlineLvl w:val="0"/>
        <w:rPr>
          <w:rFonts w:ascii="宋体" w:hAnsi="宋体" w:eastAsia="宋体" w:cs="宋体"/>
          <w:sz w:val="31"/>
          <w:szCs w:val="31"/>
        </w:rPr>
      </w:pPr>
      <w:bookmarkStart w:id="53" w:name="bookmark56"/>
      <w:bookmarkEnd w:id="53"/>
      <w:bookmarkStart w:id="54" w:name="bookmark57"/>
      <w:bookmarkEnd w:id="54"/>
      <w:bookmarkStart w:id="55" w:name="_Toc815"/>
      <w:bookmarkStart w:id="56" w:name="_Toc10994"/>
      <w:r>
        <w:rPr>
          <w:rFonts w:ascii="宋体" w:hAnsi="宋体" w:eastAsia="宋体" w:cs="宋体"/>
          <w:spacing w:val="-15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11</w:t>
      </w:r>
      <w:r>
        <w:rPr>
          <w:rFonts w:ascii="宋体" w:hAnsi="宋体" w:eastAsia="宋体" w:cs="宋体"/>
          <w:spacing w:val="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5"/>
          <w:sz w:val="31"/>
          <w:szCs w:val="31"/>
          <w14:textOutline w14:w="5793" w14:cap="flat" w14:cmpd="sng">
            <w14:solidFill>
              <w14:srgbClr w14:val="000000"/>
            </w14:solidFill>
            <w14:prstDash w14:val="solid"/>
            <w14:miter w14:val="0"/>
          </w14:textOutline>
        </w:rPr>
        <w:t>附件</w:t>
      </w:r>
      <w:bookmarkEnd w:id="55"/>
      <w:bookmarkEnd w:id="56"/>
    </w:p>
    <w:p>
      <w:pPr>
        <w:pStyle w:val="3"/>
        <w:spacing w:line="463" w:lineRule="auto"/>
      </w:pPr>
    </w:p>
    <w:p>
      <w:pPr>
        <w:spacing w:before="91" w:line="219" w:lineRule="auto"/>
        <w:ind w:left="32"/>
        <w:outlineLvl w:val="1"/>
        <w:rPr>
          <w:rFonts w:ascii="宋体" w:hAnsi="宋体" w:eastAsia="宋体" w:cs="宋体"/>
          <w:sz w:val="28"/>
          <w:szCs w:val="28"/>
        </w:rPr>
      </w:pPr>
      <w:bookmarkStart w:id="57" w:name="_Toc11500"/>
      <w:bookmarkStart w:id="58" w:name="_Toc4324"/>
      <w:r>
        <w:rPr>
          <w:rFonts w:ascii="宋体" w:hAnsi="宋体" w:eastAsia="宋体" w:cs="宋体"/>
          <w:spacing w:val="-1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附件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宋体" w:hAnsi="宋体" w:eastAsia="宋体" w:cs="宋体"/>
          <w:spacing w:val="-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3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重点监测单元清单</w:t>
      </w:r>
      <w:bookmarkEnd w:id="57"/>
      <w:bookmarkEnd w:id="58"/>
    </w:p>
    <w:p>
      <w:pPr>
        <w:pStyle w:val="3"/>
        <w:spacing w:line="282" w:lineRule="auto"/>
      </w:pPr>
    </w:p>
    <w:p>
      <w:pPr>
        <w:pStyle w:val="3"/>
        <w:spacing w:line="283" w:lineRule="auto"/>
      </w:pPr>
    </w:p>
    <w:p>
      <w:pPr>
        <w:pStyle w:val="3"/>
        <w:spacing w:line="283" w:lineRule="auto"/>
      </w:pPr>
    </w:p>
    <w:p>
      <w:pPr>
        <w:spacing w:before="78" w:line="228" w:lineRule="auto"/>
        <w:ind w:left="3032"/>
        <w:outlineLvl w:val="9"/>
        <w:rPr>
          <w:rFonts w:ascii="宋体" w:hAnsi="宋体" w:eastAsia="宋体" w:cs="宋体"/>
          <w:sz w:val="24"/>
          <w:szCs w:val="24"/>
        </w:rPr>
      </w:pPr>
      <w:bookmarkStart w:id="59" w:name="_Toc8936"/>
      <w:r>
        <w:rPr>
          <w:rFonts w:ascii="宋体" w:hAnsi="宋体" w:eastAsia="宋体" w:cs="宋体"/>
          <w:spacing w:val="8"/>
          <w:sz w:val="24"/>
          <w:szCs w:val="24"/>
          <w14:textOutline w14:w="4540" w14:cap="flat" w14:cmpd="sng">
            <w14:solidFill>
              <w14:srgbClr w14:val="000000"/>
            </w14:solidFill>
            <w14:prstDash w14:val="solid"/>
            <w14:miter w14:val="0"/>
          </w14:textOutline>
        </w:rPr>
        <w:t>土壤重点监测单元确认清单</w:t>
      </w:r>
      <w:bookmarkEnd w:id="59"/>
    </w:p>
    <w:p>
      <w:pPr>
        <w:spacing w:line="139" w:lineRule="exact"/>
      </w:pPr>
    </w:p>
    <w:tbl>
      <w:tblPr>
        <w:tblStyle w:val="11"/>
        <w:tblW w:w="9214" w:type="dxa"/>
        <w:tblInd w:w="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5"/>
        <w:gridCol w:w="2815"/>
        <w:gridCol w:w="1457"/>
        <w:gridCol w:w="16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6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137" w:line="246" w:lineRule="auto"/>
              <w:ind w:left="1221" w:right="2" w:hanging="119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单元内需要监测的重点场所/设施/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设备名称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138" w:line="244" w:lineRule="auto"/>
              <w:ind w:left="366" w:right="136" w:hanging="22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功能(即该重点场所/设施/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设备涉及的生产活动)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137" w:line="246" w:lineRule="auto"/>
              <w:ind w:left="408" w:right="163" w:hanging="21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是否为隐蔽</w:t>
            </w:r>
            <w:r>
              <w:rPr>
                <w:sz w:val="22"/>
                <w:szCs w:val="22"/>
              </w:rPr>
              <w:t xml:space="preserve"> 性设施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123" w:line="259" w:lineRule="auto"/>
              <w:ind w:left="209" w:right="167" w:firstLine="172"/>
              <w:jc w:val="both"/>
              <w:rPr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单</w:t>
            </w:r>
            <w:r>
              <w:rPr>
                <w:spacing w:val="-31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元</w:t>
            </w:r>
            <w:r>
              <w:rPr>
                <w:spacing w:val="-37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类</w:t>
            </w:r>
            <w:r>
              <w:rPr>
                <w:spacing w:val="-31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别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( 一 类 /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类)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181" w:line="220" w:lineRule="auto"/>
              <w:ind w:left="122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危废库房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181" w:line="220" w:lineRule="auto"/>
              <w:ind w:left="9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危废储存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181" w:line="221" w:lineRule="auto"/>
              <w:ind w:left="6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否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181" w:line="220" w:lineRule="auto"/>
              <w:ind w:left="6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二类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172" w:line="220" w:lineRule="auto"/>
              <w:ind w:left="1220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生产车间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172" w:line="220" w:lineRule="auto"/>
              <w:ind w:left="863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化学品生产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172" w:line="221" w:lineRule="auto"/>
              <w:ind w:left="6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否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172" w:line="220" w:lineRule="auto"/>
              <w:ind w:left="6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二类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3315" w:type="dxa"/>
            <w:vAlign w:val="top"/>
          </w:tcPr>
          <w:p>
            <w:pPr>
              <w:pStyle w:val="12"/>
              <w:spacing w:before="186" w:line="220" w:lineRule="auto"/>
              <w:ind w:left="110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污水处理站</w:t>
            </w:r>
          </w:p>
        </w:tc>
        <w:tc>
          <w:tcPr>
            <w:tcW w:w="2815" w:type="dxa"/>
            <w:vAlign w:val="top"/>
          </w:tcPr>
          <w:p>
            <w:pPr>
              <w:pStyle w:val="12"/>
              <w:spacing w:before="186" w:line="220" w:lineRule="auto"/>
              <w:ind w:left="974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污水处理</w:t>
            </w:r>
          </w:p>
        </w:tc>
        <w:tc>
          <w:tcPr>
            <w:tcW w:w="1457" w:type="dxa"/>
            <w:vAlign w:val="top"/>
          </w:tcPr>
          <w:p>
            <w:pPr>
              <w:pStyle w:val="12"/>
              <w:spacing w:before="186" w:line="221" w:lineRule="auto"/>
              <w:ind w:left="6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否</w:t>
            </w:r>
          </w:p>
        </w:tc>
        <w:tc>
          <w:tcPr>
            <w:tcW w:w="1627" w:type="dxa"/>
            <w:vAlign w:val="top"/>
          </w:tcPr>
          <w:p>
            <w:pPr>
              <w:pStyle w:val="12"/>
              <w:spacing w:before="186" w:line="220" w:lineRule="auto"/>
              <w:ind w:left="6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二类</w:t>
            </w:r>
          </w:p>
        </w:tc>
      </w:tr>
    </w:tbl>
    <w:p>
      <w:pPr>
        <w:pStyle w:val="3"/>
        <w:spacing w:line="271" w:lineRule="auto"/>
      </w:pPr>
    </w:p>
    <w:p>
      <w:pPr>
        <w:pStyle w:val="3"/>
        <w:spacing w:line="272" w:lineRule="auto"/>
      </w:pPr>
    </w:p>
    <w:p>
      <w:pPr>
        <w:pStyle w:val="3"/>
        <w:spacing w:line="272" w:lineRule="auto"/>
      </w:pPr>
    </w:p>
    <w:p>
      <w:pPr>
        <w:pStyle w:val="3"/>
        <w:spacing w:line="272" w:lineRule="auto"/>
      </w:pPr>
    </w:p>
    <w:p>
      <w:pPr>
        <w:spacing w:line="525" w:lineRule="exact"/>
      </w:pPr>
    </w:p>
    <w:p>
      <w:pPr>
        <w:spacing w:before="186" w:line="219" w:lineRule="auto"/>
        <w:ind w:left="80"/>
        <w:outlineLvl w:val="1"/>
        <w:rPr>
          <w:rFonts w:ascii="宋体" w:hAnsi="宋体" w:eastAsia="宋体" w:cs="宋体"/>
          <w:spacing w:val="-9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bookmarkStart w:id="60" w:name="bookmark58"/>
      <w:bookmarkEnd w:id="60"/>
      <w:bookmarkStart w:id="61" w:name="_Toc22858"/>
      <w:bookmarkStart w:id="62" w:name="_Toc28593"/>
      <w:r>
        <w:rPr>
          <w:rFonts w:ascii="宋体" w:hAnsi="宋体" w:eastAsia="宋体" w:cs="宋体"/>
          <w:spacing w:val="-9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附件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宋体" w:hAnsi="宋体" w:eastAsia="宋体" w:cs="宋体"/>
          <w:spacing w:val="-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t>实验室样品检测报告</w:t>
      </w:r>
      <w:bookmarkEnd w:id="61"/>
      <w:bookmarkEnd w:id="62"/>
    </w:p>
    <w:p>
      <w:pPr>
        <w:spacing w:before="186" w:line="219" w:lineRule="auto"/>
        <w:ind w:left="80"/>
        <w:outlineLvl w:val="9"/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4610" cy="8948420"/>
            <wp:effectExtent l="0" t="0" r="15240" b="5080"/>
            <wp:docPr id="42" name="图片 42" descr="自测（2025土壤年检）042408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自测（2025土壤年检）042408(1)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4610" cy="8964295"/>
            <wp:effectExtent l="0" t="0" r="15240" b="8255"/>
            <wp:docPr id="43" name="图片 43" descr="自测（2025土壤年检）042408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自测（2025土壤年检）042408(1)_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399530" cy="8872855"/>
            <wp:effectExtent l="0" t="0" r="1270" b="4445"/>
            <wp:docPr id="44" name="图片 44" descr="自测（2025土壤年检）042408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自测（2025土壤年检）042408(1)_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399530" cy="8888730"/>
            <wp:effectExtent l="0" t="0" r="1270" b="7620"/>
            <wp:docPr id="45" name="图片 45" descr="自测（2025土壤年检）042408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自测（2025土壤年检）042408(1)_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1435" cy="8964295"/>
            <wp:effectExtent l="0" t="0" r="18415" b="8255"/>
            <wp:docPr id="46" name="图片 46" descr="自测（2025土壤年检）042408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自测（2025土壤年检）042408(1)_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2070" cy="8945880"/>
            <wp:effectExtent l="0" t="0" r="17780" b="7620"/>
            <wp:docPr id="47" name="图片 47" descr="自测（2025土壤年检）042408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自测（2025土壤年检）042408(1)_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4610" cy="8937625"/>
            <wp:effectExtent l="0" t="0" r="15240" b="15875"/>
            <wp:docPr id="48" name="图片 48" descr="自测（2025土壤年检）042408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自测（2025土壤年检）042408(1)_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9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5245" cy="8940165"/>
            <wp:effectExtent l="0" t="0" r="14605" b="13335"/>
            <wp:docPr id="49" name="图片 49" descr="自测（2025土壤年检）042408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自测（2025土壤年检）042408(1)_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89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04610" cy="8953500"/>
            <wp:effectExtent l="0" t="0" r="15240" b="0"/>
            <wp:docPr id="50" name="图片 50" descr="自测（2025土壤年检）042408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自测（2025土壤年检）042408(1)_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9"/>
          <w:sz w:val="28"/>
          <w:szCs w:val="28"/>
          <w:lang w:eastAsia="zh-CN"/>
          <w14:textOutline w14:w="510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399530" cy="8959215"/>
            <wp:effectExtent l="0" t="0" r="1270" b="13335"/>
            <wp:docPr id="51" name="图片 51" descr="自测（2025土壤年检）042408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自测（2025土壤年检）042408(1)_0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3" w:type="default"/>
      <w:pgSz w:w="11906" w:h="16839"/>
      <w:pgMar w:top="1118" w:right="402" w:bottom="522" w:left="1416" w:header="0" w:footer="30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pIA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lB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+kgB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HbnP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IaHbnP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C4UNn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PMVIkgYq&#10;fv/t6/33n/c/viDYA4G22o4hbqEh0u2u1A7apt+3sOl57yrT+H9ghMAP8t4d5GU7h6g/lA7SNAIX&#10;BV+/APzweFwb614x1SBvZNhA/VpZyWZuXRfah/jbpCq4EG0NhURbT+I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0LhQ2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AICDn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TDCSpIGK&#10;33/7ev/95/2PLwj2QKCttmOIW2iIdLsrtYO26fctbHreu8o0/h8YIfCDvHcHednOIeoPpYM0jcBF&#10;wdcvAD88HtfGuldMNcgbGTZQv1ZWsplb14X2If42qQouRFtDIdEWSJy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8AgIO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3NpP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Y3NpP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1wBbb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B1wBbb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tPOxze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EtPOx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15C53"/>
    <w:multiLevelType w:val="singleLevel"/>
    <w:tmpl w:val="97215C5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F5D1EEB"/>
    <w:multiLevelType w:val="singleLevel"/>
    <w:tmpl w:val="4F5D1EE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TIzZWUzMTA3ODM2ZWMyNWIyYjU0Mzk3N2E1Y2RiMDYifQ=="/>
  </w:docVars>
  <w:rsids>
    <w:rsidRoot w:val="00000000"/>
    <w:rsid w:val="087C1DEE"/>
    <w:rsid w:val="100B18C1"/>
    <w:rsid w:val="1612565D"/>
    <w:rsid w:val="34637732"/>
    <w:rsid w:val="3A2940F7"/>
    <w:rsid w:val="3A3C6A5B"/>
    <w:rsid w:val="492C6E5B"/>
    <w:rsid w:val="6EF459C4"/>
    <w:rsid w:val="7CAD0B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Default"/>
    <w:basedOn w:val="17"/>
    <w:next w:val="1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2024-10-29T23:05:00Z</dcterms:created>
  <dc:creator>Administrator</dc:creator>
  <cp:lastModifiedBy>~.~</cp:lastModifiedBy>
  <dcterms:modified xsi:type="dcterms:W3CDTF">2025-09-24T07:57:38Z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2024-11-15T15:25:55Z</vt:filetime>
  </property>
  <property fmtid="{D5CDD505-2E9C-101B-9397-08002B2CF9AE}" pid="4" name="KSOProductBuildVer">
    <vt:lpwstr>2052-12.1.0.15990</vt:lpwstr>
  </property>
  <property fmtid="{D5CDD505-2E9C-101B-9397-08002B2CF9AE}" pid="5" name="ICV">
    <vt:lpwstr>411F0B746A7F4338B1FD756430462460_13</vt:lpwstr>
  </property>
</Properties>
</file>